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jc w:val="center"/>
        <w:rPr>
          <w:rFonts w:cs="宋体" w:asciiTheme="minorEastAsia" w:hAnsiTheme="minorEastAsia" w:eastAsiaTheme="minorEastAsia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服务招标采购需求</w:t>
      </w:r>
    </w:p>
    <w:p>
      <w:pPr>
        <w:pStyle w:val="9"/>
        <w:numPr>
          <w:ilvl w:val="0"/>
          <w:numId w:val="0"/>
        </w:numPr>
        <w:adjustRightInd/>
        <w:snapToGrid/>
        <w:spacing w:after="0" w:line="360" w:lineRule="auto"/>
        <w:ind w:leftChars="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  <w:lang w:eastAsia="zh-CN"/>
        </w:rPr>
        <w:t>一、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招标内容简介</w:t>
      </w:r>
    </w:p>
    <w:p>
      <w:pPr>
        <w:adjustRightInd/>
        <w:snapToGrid/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广西艺术学院202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开学典礼暨迎新生文艺演出舞台搭建设备租赁</w:t>
      </w:r>
      <w:r>
        <w:rPr>
          <w:rFonts w:hint="eastAsia" w:ascii="宋体" w:hAnsi="宋体" w:eastAsia="宋体" w:cs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按照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搭建—使用—拆除的形式，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提供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舞台灯光音响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LED设备租赁及搭建服务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，保障广西艺术学院202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开学典礼暨迎新生晚会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顺利进行。</w:t>
      </w:r>
    </w:p>
    <w:p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ind w:leftChars="0"/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交付使用时间要求</w:t>
      </w:r>
    </w:p>
    <w:p>
      <w:pPr>
        <w:adjustRightInd/>
        <w:snapToGrid/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全部设备必须于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9月1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2日中午14:00前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按照采购需求中的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型号参数提供对应数量的设备并完成搭建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交付使用，使用期间安排专业技术人员进行现场操作和维护，舞台及设备使用时间为9月12日14:00-9月13日23:00，服务结束后进行拆除。</w:t>
      </w:r>
    </w:p>
    <w:p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ind w:leftChars="0"/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三、设备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功能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、型号、参数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要求</w:t>
      </w:r>
    </w:p>
    <w:tbl>
      <w:tblPr>
        <w:tblStyle w:val="4"/>
        <w:tblW w:w="949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4230"/>
        <w:gridCol w:w="795"/>
        <w:gridCol w:w="10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1、灯光需求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品名及型号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ACM成像灯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200W，热启动，可切角成型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ACME面光灯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300W，热启动，摇头变焦，15到45度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ACME光速灯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380w，四合一 两个图案盘，两个颜色盘热启动，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350光速灯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350W，彩虹效果、热启动，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LED帕灯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10W18珠，四合一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1500KW，氙汽泡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电脑灯控制台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  4096通道   可以扩展到8192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数字化流动硅柜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6KW/路、512信号输出,电压自动调整、掉电保护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直通硅柜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RGB,单路6KW，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信号线及电缆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总电缆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35平方x3+25平方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54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2、音响需求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品名及型号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RVS-1830  双12寸两分频线性阵列音箱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双12寸三分频线性阵列音箱；额定功率：1600W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 TSW-218双18寸超低音音箱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双18寸超低音音箱；额定功率：1400w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 CX-15  舞台返送箱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舞台返送箱；额定功率：400W；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Style w:val="10"/>
                <w:lang w:val="en-US" w:eastAsia="zh-CN" w:bidi="ar"/>
              </w:rPr>
              <w:t>VS FA-18F专业功率放大器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专业功率放大器(推线阵中高音)；输出功率：8Ω/650W×2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 FA-72F 专业功率放大器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专业功率放大器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推线阵次超低音音箱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Style w:val="13"/>
                <w:lang w:val="en-US" w:eastAsia="zh-CN" w:bidi="ar"/>
              </w:rPr>
              <w:t>；输出功率：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8Ω/1200W×2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RVS MAX7800专业功率放大器(推超低音音箱)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专业功率放大器(推超低音音箱)；输出功率：8Ω/1250W×2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FA-36F 专业功率放大器(推舞台返送、补声音箱)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专业功率放大器(推舞台返送音箱)；输出功率：8Ω/850W×2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A&amp;H 2400 424调音台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拥有左右信道、单信道叠加、4 编组、6 个辅助通道、7×4 矩阵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XTA DP448 处理器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◆24-bit转换器，96KHz采样率，10Hz~32KHz的带宽以及超过116dB的动态范围；◆4路平衡输入，8路平衡输出，可实现4x 8路分频和4个2路监测系统；◆在每一输入通道上具有28段图示均衡，同时额外有8段完整的参量均衡；◆每一输出都结合限幅器，设计为保护独立驱动，避免飘移过度和过驱动，还附加一个先行的“D- MAX”限幅器以保证安全运行；◆每路输出的延时独立可调，最大延时为650us,最小调整步距为0.325us;◆40组记忆，RS232、RS485多种控制方式；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YAMAHA SPX2000效果器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在24bit/96kHz状态下优越的声音品质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重新优化的预置程序包括新开发的“REV-X”混响算法。友光的界面和菜单，为方便区别效果模式而设的6种颜色的背景光。扩展的输入与输出连接提供优质的兼容性和控制性。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SHURE UA845 天线分配器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适用于接收机的天线分配器和电源分配系统，4路宽频UHF有源天线分配器,提供外部电源。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SHURE UA845 天线分配器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在24bit/96kHz状态下优越的声音品质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重新优化的预置程序包括新开发的“REV-X”混响算法。友光的界面和菜单，为方便区别效果模式而设的6种颜色的背景光。扩展的输入与输出连接提供优质的兼容性和控制性。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SHURE UC24/SM58手持无线话筒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外壳镀锌钢,频输出电平（参考值 ±38 kHz偏差，1 kHz音调）；XLR接口（连接至600 Ω负载）：–13 dBV；1/4英寸接口（连接至3000 Ω负载）: –2 dBV；输出阻抗  XLR接口: 200 Ω 1/4英寸接口: 1kΩ；XLR输出    平衡阻抗 针1: 接地 针2: (+) 针3: (-)；灵敏度      –105 dBm，12 dB信噪比（典型值）；镜频抑制   &gt;70 dB（典型值）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日本佳耐美信号缆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双15寸音响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后区补声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音箱线、话筒架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3、LED视频背景需求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品名及型号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 LED主屏，高清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水平可视角度 140（+20/-20）度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垂直可视角度 120（+20/-20）度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 ≥4000CD/㎡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像素点间距 4.807mm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像素密度 43264Dots/㎡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像素构成 1R1G1B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单元板分辨率 52*52=2704Dots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箱体分辨率 104*104=10816Dots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 1/13（恒流）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最佳视距 ≥5m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衰减率（工作 3 年） ≤15%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12米x5米 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P3副屏 高清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水平可视角度 140（+20/-20）度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垂直可视角度 120（+20/-20）度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 ≥4000CD/㎡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像素点间距 4.807mm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像素密度 43264Dots/㎡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像素构成 1R1G1B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单元板分辨率 52*52=2704Dots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箱体分辨率 104*104=10816Dots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 1/13（恒流）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最佳视距 ≥5m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衰减率（工作 3 年） ≤15%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5米x2、5米x4，平方米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p3观众屏 高亮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水平可视角度 140（+20/-20）度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垂直可视角度 120（+20/-20）度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 ≥4000CD/㎡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像素点间距 4.807mm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像素密度 43264Dots/㎡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像素构成 1R1G1B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单元板分辨率 52*52=2704Dots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箱体分辨率 104*104=10816Dots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 1/13（恒流）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最佳视距 ≥5m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衰减率（工作 3 年） ≤15%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5米x4米x2，平方米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控制器及苹果电脑等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Apple MacBook Pro 13.3 八核M1芯片 16G 512G SSD 深空灰 笔记本电脑 轻薄本 Z11C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4、舞台灯架搭建需求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格 名 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逆光架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12米x6米  铸铁镀锌管， 厂家定制，立杆50管*2米长1条、斜杠2、6米长，横杆2米长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侧光架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10米x10米x2， 铸铁镀锌管， 厂家定制，立杆50管*2米长1条、斜杠2、6米长，横杆2米长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小侧光架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8米x6米x2， 铸铁镀锌管， 厂家定制，立杆50管*2米长1条、斜杠2、6米长，横杆2米长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12米x4米x2， 铸铁镀锌管， 厂家定制，立杆50管*2米长1条、斜杠2、6米长，横杆2米长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面光附架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6米x4米x2， 铸铁镀锌管， 厂家定制，立杆50管*2米长1条、斜杠2、6米长，横杆2米长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THSSJ架横梁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600*760，60铝合金管，厂家定制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THSSJ架立柱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400*400 ， 60铝合金管，厂家定制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双制动限位开关，超重保护。轻型小体积。紧急停止，FAC DAT负载链符合,链条导轨，链条出口特殊设计。EN818—7标准。起升高度18/25M.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18米宽x4米深， 厂家定制2米宽，1米深，支架4*6 方通焊接成目字型，面采用15厘大心黑板定制而成。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4米宽x6米深， 厂家定制2米宽，1米深，支架4*6 方通焊接成目字型，面采用15厘大心黑板定制而成。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灰色（加厚）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</w:tbl>
    <w:p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ind w:leftChars="0"/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实施与服务要求</w:t>
      </w:r>
    </w:p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1．投标人应依据实际情况，协商制定切实可行的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  <w:t>服务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计划。</w:t>
      </w:r>
    </w:p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2．投标人须按照合同规定的时间，派遣技术人员上门提供现场的项目实施服务。</w:t>
      </w:r>
    </w:p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hint="eastAsia"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3．对于发现的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  <w:t>软硬件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自身功能问题，投标人须免费及时给予圆满解决；</w:t>
      </w:r>
    </w:p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4．售后服务项目清单</w:t>
      </w:r>
    </w:p>
    <w:tbl>
      <w:tblPr>
        <w:tblStyle w:val="4"/>
        <w:tblW w:w="91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31"/>
        <w:gridCol w:w="5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9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售后服务项目</w:t>
            </w:r>
          </w:p>
        </w:tc>
        <w:tc>
          <w:tcPr>
            <w:tcW w:w="5895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方式、内容和响应时间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现场技术服务</w:t>
            </w:r>
          </w:p>
        </w:tc>
        <w:tc>
          <w:tcPr>
            <w:tcW w:w="5895" w:type="dxa"/>
            <w:vAlign w:val="center"/>
          </w:tcPr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按用户要求，安排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  <w:t>技术人员至少提前两天到达用户地点进行勘察制定服务计划，于规定时间内完成设备搭建和调试等服务。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09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26" w:type="dxa"/>
            <w:gridSpan w:val="2"/>
            <w:vAlign w:val="center"/>
          </w:tcPr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故障排除</w:t>
            </w:r>
          </w:p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系统隐含的错误发生时，现场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及时响应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排除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故障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。</w:t>
            </w:r>
          </w:p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人为故障排除</w:t>
            </w:r>
          </w:p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因操作人员错误操作引起故障发生时，现场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及时响应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排除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故障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31" w:type="dxa"/>
            <w:vAlign w:val="center"/>
          </w:tcPr>
          <w:p>
            <w:pPr>
              <w:spacing w:after="0" w:line="360" w:lineRule="exact"/>
              <w:jc w:val="center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现场走访</w:t>
            </w:r>
          </w:p>
        </w:tc>
        <w:tc>
          <w:tcPr>
            <w:tcW w:w="5895" w:type="dxa"/>
            <w:vAlign w:val="center"/>
          </w:tcPr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到现场了解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运行情况，解决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运行中的各类问题。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426" w:type="dxa"/>
            <w:gridSpan w:val="2"/>
            <w:vAlign w:val="center"/>
          </w:tcPr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重大运行故障排除</w:t>
            </w:r>
          </w:p>
          <w:p>
            <w:pPr>
              <w:spacing w:after="0" w:line="360" w:lineRule="exac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因各种原因造成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eastAsia="zh-CN"/>
              </w:rPr>
              <w:t>设备或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系统不能运行或其他重大障碍等重大事件时，即时响应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小时内给出临时解决措施，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>小时内给出详细解决方案予以解决。</w:t>
            </w:r>
          </w:p>
        </w:tc>
      </w:tr>
    </w:tbl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hint="eastAsia"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5.投标人支持一体化服务，需保证所提供的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  <w:t>设备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正常使用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  <w:t>，配备不少于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15名技术人员现场支持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。</w:t>
      </w:r>
    </w:p>
    <w:p>
      <w:pPr>
        <w:pStyle w:val="8"/>
        <w:widowControl w:val="0"/>
        <w:adjustRightInd/>
        <w:snapToGrid/>
        <w:spacing w:after="0" w:line="360" w:lineRule="auto"/>
        <w:ind w:firstLine="560"/>
        <w:rPr>
          <w:rFonts w:cs="宋体" w:asciiTheme="minorEastAsia" w:hAnsiTheme="minorEastAsia" w:eastAsiaTheme="minorEastAsia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TQyMWM5MTRmYjgxM2FkNzEzYTE1NDRhZTVlYmIifQ=="/>
  </w:docVars>
  <w:rsids>
    <w:rsidRoot w:val="004E750D"/>
    <w:rsid w:val="00040004"/>
    <w:rsid w:val="00042538"/>
    <w:rsid w:val="00055661"/>
    <w:rsid w:val="00082D48"/>
    <w:rsid w:val="000938DD"/>
    <w:rsid w:val="000A0CA7"/>
    <w:rsid w:val="001222D6"/>
    <w:rsid w:val="00125D84"/>
    <w:rsid w:val="00172E28"/>
    <w:rsid w:val="00177A30"/>
    <w:rsid w:val="0019375F"/>
    <w:rsid w:val="001A3865"/>
    <w:rsid w:val="00202314"/>
    <w:rsid w:val="002200E3"/>
    <w:rsid w:val="00230B9E"/>
    <w:rsid w:val="00291021"/>
    <w:rsid w:val="002B0803"/>
    <w:rsid w:val="002B74C3"/>
    <w:rsid w:val="00307E87"/>
    <w:rsid w:val="003170A5"/>
    <w:rsid w:val="00337CB8"/>
    <w:rsid w:val="0036038C"/>
    <w:rsid w:val="0036766C"/>
    <w:rsid w:val="003A4B99"/>
    <w:rsid w:val="003B2806"/>
    <w:rsid w:val="003E0040"/>
    <w:rsid w:val="003E250F"/>
    <w:rsid w:val="004013D9"/>
    <w:rsid w:val="00405784"/>
    <w:rsid w:val="00407984"/>
    <w:rsid w:val="00441052"/>
    <w:rsid w:val="0044628E"/>
    <w:rsid w:val="004575A4"/>
    <w:rsid w:val="004618D6"/>
    <w:rsid w:val="004726F0"/>
    <w:rsid w:val="00477FF1"/>
    <w:rsid w:val="004E750D"/>
    <w:rsid w:val="005B5119"/>
    <w:rsid w:val="005F72F2"/>
    <w:rsid w:val="005F7B81"/>
    <w:rsid w:val="00666FE8"/>
    <w:rsid w:val="00687421"/>
    <w:rsid w:val="006B043B"/>
    <w:rsid w:val="006E3CE2"/>
    <w:rsid w:val="00810EAE"/>
    <w:rsid w:val="00833F3A"/>
    <w:rsid w:val="00852A74"/>
    <w:rsid w:val="008619BB"/>
    <w:rsid w:val="008620BA"/>
    <w:rsid w:val="009139C0"/>
    <w:rsid w:val="00937B27"/>
    <w:rsid w:val="00983899"/>
    <w:rsid w:val="009C478A"/>
    <w:rsid w:val="00A47A24"/>
    <w:rsid w:val="00A51980"/>
    <w:rsid w:val="00A6121C"/>
    <w:rsid w:val="00A75C19"/>
    <w:rsid w:val="00AC0AA3"/>
    <w:rsid w:val="00AD174E"/>
    <w:rsid w:val="00AD1DD7"/>
    <w:rsid w:val="00AE768B"/>
    <w:rsid w:val="00B220D7"/>
    <w:rsid w:val="00B27608"/>
    <w:rsid w:val="00B34830"/>
    <w:rsid w:val="00B941C0"/>
    <w:rsid w:val="00BA7922"/>
    <w:rsid w:val="00C126F8"/>
    <w:rsid w:val="00C13A37"/>
    <w:rsid w:val="00C15E4C"/>
    <w:rsid w:val="00C5574D"/>
    <w:rsid w:val="00C5731D"/>
    <w:rsid w:val="00C67155"/>
    <w:rsid w:val="00C77745"/>
    <w:rsid w:val="00C919DB"/>
    <w:rsid w:val="00D47CC1"/>
    <w:rsid w:val="00D56526"/>
    <w:rsid w:val="00D9182D"/>
    <w:rsid w:val="00DB332F"/>
    <w:rsid w:val="00DD5C81"/>
    <w:rsid w:val="00DE4DAA"/>
    <w:rsid w:val="00EA16E5"/>
    <w:rsid w:val="00EA1C06"/>
    <w:rsid w:val="00EA63D9"/>
    <w:rsid w:val="00EB57ED"/>
    <w:rsid w:val="00EE644F"/>
    <w:rsid w:val="00EF2D30"/>
    <w:rsid w:val="00EF5A27"/>
    <w:rsid w:val="00F043B7"/>
    <w:rsid w:val="00F340DB"/>
    <w:rsid w:val="00F536FF"/>
    <w:rsid w:val="00FA3CF2"/>
    <w:rsid w:val="27CD4F1A"/>
    <w:rsid w:val="2BFE8E77"/>
    <w:rsid w:val="2C0E0350"/>
    <w:rsid w:val="2F9634D7"/>
    <w:rsid w:val="372ECA57"/>
    <w:rsid w:val="37FEEB8C"/>
    <w:rsid w:val="3BED1680"/>
    <w:rsid w:val="44F63C2E"/>
    <w:rsid w:val="4F054DA0"/>
    <w:rsid w:val="4FBCB2CB"/>
    <w:rsid w:val="565F667F"/>
    <w:rsid w:val="5B7FAFA3"/>
    <w:rsid w:val="5E9B0A8C"/>
    <w:rsid w:val="5ED212F4"/>
    <w:rsid w:val="5ED7EABD"/>
    <w:rsid w:val="5FE129AC"/>
    <w:rsid w:val="5FFBE106"/>
    <w:rsid w:val="6BEC26CB"/>
    <w:rsid w:val="6D5EFEC4"/>
    <w:rsid w:val="6FE7DF93"/>
    <w:rsid w:val="6FF7191F"/>
    <w:rsid w:val="72FF916A"/>
    <w:rsid w:val="77FD334E"/>
    <w:rsid w:val="77FFD80D"/>
    <w:rsid w:val="7A9D3531"/>
    <w:rsid w:val="7BF70BBB"/>
    <w:rsid w:val="7CFBA8C2"/>
    <w:rsid w:val="7CFF8B1A"/>
    <w:rsid w:val="7D052115"/>
    <w:rsid w:val="7D79B178"/>
    <w:rsid w:val="7DD3CB74"/>
    <w:rsid w:val="7F9EDCE5"/>
    <w:rsid w:val="7FFD91F3"/>
    <w:rsid w:val="7FFFD579"/>
    <w:rsid w:val="7FFFD916"/>
    <w:rsid w:val="B7D9EEBC"/>
    <w:rsid w:val="B7EBD06D"/>
    <w:rsid w:val="B992791E"/>
    <w:rsid w:val="BADEC958"/>
    <w:rsid w:val="BDFE1FDC"/>
    <w:rsid w:val="BEEFED5D"/>
    <w:rsid w:val="BF29A4CD"/>
    <w:rsid w:val="BFDDD4A9"/>
    <w:rsid w:val="C97BDB06"/>
    <w:rsid w:val="D70BF189"/>
    <w:rsid w:val="DABFBBD9"/>
    <w:rsid w:val="DFDF14A3"/>
    <w:rsid w:val="E4D4A121"/>
    <w:rsid w:val="E7EE514C"/>
    <w:rsid w:val="EEFF57E6"/>
    <w:rsid w:val="EFE9652A"/>
    <w:rsid w:val="F1FDBB40"/>
    <w:rsid w:val="F5FE48CA"/>
    <w:rsid w:val="F7E502E4"/>
    <w:rsid w:val="F7F71F1C"/>
    <w:rsid w:val="F7FE83C3"/>
    <w:rsid w:val="F8DF3015"/>
    <w:rsid w:val="FABFCF97"/>
    <w:rsid w:val="FAFF6A0D"/>
    <w:rsid w:val="FBEE34B2"/>
    <w:rsid w:val="FCEFFB0C"/>
    <w:rsid w:val="FDAEC62D"/>
    <w:rsid w:val="FF9D659C"/>
    <w:rsid w:val="FFD2F164"/>
    <w:rsid w:val="FFFF8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7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2603</Words>
  <Characters>3327</Characters>
  <Lines>15</Lines>
  <Paragraphs>4</Paragraphs>
  <TotalTime>9</TotalTime>
  <ScaleCrop>false</ScaleCrop>
  <LinksUpToDate>false</LinksUpToDate>
  <CharactersWithSpaces>3495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2019-11-22T15:58:00Z</dcterms:created>
  <dc:creator>wayne</dc:creator>
  <cp:lastModifiedBy>剑哥</cp:lastModifiedBy>
  <dcterms:modified xsi:type="dcterms:W3CDTF">2022-08-18T02:12:38Z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BE1E1526AEB143D0B6501B7E19174AEB</vt:lpwstr>
  </property>
</Properties>
</file>