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0" w:name="_Toc28359001"/>
      <w:bookmarkStart w:id="1" w:name="_Toc35393789"/>
      <w:r>
        <w:rPr>
          <w:rFonts w:hint="eastAsia"/>
          <w:color w:val="auto"/>
          <w:highlight w:val="none"/>
        </w:rPr>
        <w:t xml:space="preserve"> 云之龙咨询集团有限公司广西艺术学院民族艺术教育教学综合楼中央空调采购安装项目GXZC2024-G1-004599-YZLZ</w:t>
      </w:r>
    </w:p>
    <w:p>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bookmarkStart w:id="37" w:name="_GoBack"/>
      <w:bookmarkEnd w:id="37"/>
      <w:r>
        <w:rPr>
          <w:rFonts w:hint="eastAsia"/>
          <w:color w:val="auto"/>
          <w:highlight w:val="none"/>
        </w:rPr>
        <w:t>招标公告</w:t>
      </w:r>
      <w:bookmarkEnd w:id="0"/>
      <w:bookmarkEnd w:id="1"/>
    </w:p>
    <w:p>
      <w:pPr>
        <w:spacing w:line="360" w:lineRule="auto"/>
        <w:rPr>
          <w:rFonts w:ascii="宋体" w:hAnsi="宋体"/>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广西艺术学院民族艺术教育教学综合楼中央空调采购安装项目</w:t>
      </w:r>
      <w:r>
        <w:rPr>
          <w:rFonts w:hint="eastAsia" w:ascii="宋体" w:hAnsi="宋体"/>
          <w:color w:val="auto"/>
          <w:szCs w:val="21"/>
          <w:highlight w:val="none"/>
        </w:rPr>
        <w:t>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ascii="宋体" w:hAnsi="宋体"/>
          <w:color w:val="auto"/>
          <w:szCs w:val="21"/>
          <w:highlight w:val="none"/>
          <w:u w:val="single"/>
        </w:rPr>
        <w:t xml:space="preserve"> 2024</w:t>
      </w:r>
      <w:r>
        <w:rPr>
          <w:rFonts w:hint="eastAsia" w:ascii="宋体" w:hAnsi="宋体"/>
          <w:bCs/>
          <w:color w:val="auto"/>
          <w:szCs w:val="21"/>
          <w:highlight w:val="none"/>
          <w:u w:val="single"/>
        </w:rPr>
        <w:t>年8月</w:t>
      </w:r>
      <w:r>
        <w:rPr>
          <w:rFonts w:ascii="宋体" w:hAnsi="宋体"/>
          <w:bCs/>
          <w:color w:val="auto"/>
          <w:szCs w:val="21"/>
          <w:highlight w:val="none"/>
          <w:u w:val="single"/>
        </w:rPr>
        <w:t>12</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 xml:space="preserve">时 </w:t>
      </w:r>
      <w:r>
        <w:rPr>
          <w:rFonts w:ascii="宋体" w:hAnsi="宋体"/>
          <w:bCs/>
          <w:color w:val="auto"/>
          <w:szCs w:val="21"/>
          <w:highlight w:val="none"/>
          <w:u w:val="single"/>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pPr>
        <w:spacing w:line="360" w:lineRule="auto"/>
        <w:rPr>
          <w:rFonts w:ascii="宋体" w:hAnsi="宋体"/>
          <w:color w:val="auto"/>
          <w:szCs w:val="21"/>
          <w:highlight w:val="none"/>
        </w:rPr>
      </w:pPr>
    </w:p>
    <w:p>
      <w:pPr>
        <w:spacing w:line="360" w:lineRule="auto"/>
        <w:rPr>
          <w:rFonts w:ascii="黑体" w:hAnsi="黑体" w:eastAsia="黑体"/>
          <w:b/>
          <w:bCs/>
          <w:color w:val="auto"/>
          <w:sz w:val="24"/>
          <w:highlight w:val="none"/>
        </w:rPr>
      </w:pPr>
      <w:bookmarkStart w:id="2" w:name="_Toc35393621"/>
      <w:bookmarkStart w:id="3" w:name="_Toc28359002"/>
      <w:bookmarkStart w:id="4" w:name="_Toc35393790"/>
      <w:bookmarkStart w:id="5" w:name="_Toc28359079"/>
      <w:bookmarkStart w:id="6" w:name="_Hlk24379207"/>
      <w:r>
        <w:rPr>
          <w:rFonts w:hint="eastAsia" w:ascii="黑体" w:hAnsi="黑体" w:eastAsia="黑体"/>
          <w:b/>
          <w:bCs/>
          <w:color w:val="auto"/>
          <w:sz w:val="24"/>
          <w:highlight w:val="none"/>
        </w:rPr>
        <w:t>一、项目基本情况</w:t>
      </w:r>
      <w:bookmarkEnd w:id="2"/>
      <w:bookmarkEnd w:id="3"/>
      <w:bookmarkEnd w:id="4"/>
      <w:bookmarkEnd w:id="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ascii="宋体" w:hAnsi="宋体"/>
          <w:color w:val="auto"/>
          <w:szCs w:val="21"/>
          <w:highlight w:val="none"/>
        </w:rPr>
        <w:t>GXZC2024-G1-004599-YZLZ</w:t>
      </w:r>
      <w:r>
        <w:rPr>
          <w:rFonts w:hint="eastAsia" w:ascii="宋体" w:hAnsi="宋体"/>
          <w:color w:val="auto"/>
          <w:szCs w:val="21"/>
          <w:highlight w:val="none"/>
        </w:rPr>
        <w:t>（采购计划编号：广西政采[2024]13334号）</w:t>
      </w:r>
    </w:p>
    <w:p>
      <w:pPr>
        <w:spacing w:line="360" w:lineRule="auto"/>
        <w:ind w:left="420" w:leftChars="200"/>
        <w:rPr>
          <w:rFonts w:ascii="宋体" w:hAnsi="宋体"/>
          <w:color w:val="auto"/>
          <w:szCs w:val="21"/>
          <w:highlight w:val="none"/>
        </w:rPr>
      </w:pPr>
      <w:r>
        <w:rPr>
          <w:rFonts w:hint="eastAsia" w:ascii="宋体" w:hAnsi="宋体"/>
          <w:color w:val="auto"/>
          <w:szCs w:val="21"/>
          <w:highlight w:val="none"/>
        </w:rPr>
        <w:t>项目名称：</w:t>
      </w:r>
      <w:bookmarkEnd w:id="6"/>
      <w:r>
        <w:rPr>
          <w:rFonts w:hint="eastAsia" w:ascii="宋体" w:hAnsi="宋体"/>
          <w:color w:val="auto"/>
          <w:szCs w:val="21"/>
          <w:highlight w:val="none"/>
        </w:rPr>
        <w:t>广西艺术学院民族艺术教育教学综合楼中央空调采购安装项目</w:t>
      </w:r>
    </w:p>
    <w:p>
      <w:pPr>
        <w:spacing w:line="360" w:lineRule="auto"/>
        <w:ind w:left="420" w:leftChars="200"/>
        <w:rPr>
          <w:rFonts w:ascii="宋体" w:hAnsi="宋体"/>
          <w:color w:val="auto"/>
          <w:szCs w:val="21"/>
          <w:highlight w:val="none"/>
          <w:u w:val="single"/>
        </w:rPr>
      </w:pPr>
      <w:r>
        <w:rPr>
          <w:rFonts w:hint="eastAsia"/>
          <w:color w:val="auto"/>
          <w:highlight w:val="none"/>
        </w:rPr>
        <w:t>预算总金额</w:t>
      </w:r>
      <w:r>
        <w:rPr>
          <w:rFonts w:hint="eastAsia" w:ascii="宋体" w:hAnsi="宋体"/>
          <w:color w:val="auto"/>
          <w:szCs w:val="21"/>
          <w:highlight w:val="none"/>
        </w:rPr>
        <w:t>：</w:t>
      </w:r>
      <w:bookmarkStart w:id="7" w:name="OLE_LINK3"/>
      <w:r>
        <w:rPr>
          <w:rFonts w:ascii="宋体" w:hAnsi="宋体"/>
          <w:color w:val="auto"/>
          <w:szCs w:val="21"/>
          <w:highlight w:val="none"/>
        </w:rPr>
        <w:t>10</w:t>
      </w:r>
      <w:r>
        <w:rPr>
          <w:rFonts w:hint="eastAsia" w:ascii="宋体" w:hAnsi="宋体"/>
          <w:color w:val="auto"/>
          <w:szCs w:val="21"/>
          <w:highlight w:val="none"/>
        </w:rPr>
        <w:t>25万元</w:t>
      </w:r>
      <w:bookmarkEnd w:id="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ascii="宋体" w:hAnsi="宋体"/>
          <w:color w:val="auto"/>
          <w:szCs w:val="21"/>
          <w:highlight w:val="none"/>
        </w:rPr>
        <w:t>10</w:t>
      </w:r>
      <w:r>
        <w:rPr>
          <w:rFonts w:hint="eastAsia" w:ascii="宋体" w:hAnsi="宋体"/>
          <w:color w:val="auto"/>
          <w:szCs w:val="21"/>
          <w:highlight w:val="none"/>
        </w:rPr>
        <w:t>25万元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5"/>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59"/>
        <w:gridCol w:w="4962"/>
        <w:gridCol w:w="708"/>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559"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496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c>
          <w:tcPr>
            <w:tcW w:w="7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709"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olor w:val="auto"/>
                <w:szCs w:val="21"/>
                <w:highlight w:val="none"/>
              </w:rPr>
            </w:pPr>
            <w:r>
              <w:rPr>
                <w:rFonts w:hint="eastAsia" w:ascii="宋体" w:hAnsi="宋体"/>
                <w:color w:val="auto"/>
                <w:szCs w:val="21"/>
                <w:highlight w:val="none"/>
              </w:rPr>
              <w:t>新风机组</w:t>
            </w:r>
          </w:p>
        </w:tc>
        <w:tc>
          <w:tcPr>
            <w:tcW w:w="496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color w:val="auto"/>
                <w:highlight w:val="none"/>
              </w:rPr>
            </w:pPr>
            <w:r>
              <w:rPr>
                <w:rFonts w:hint="eastAsia" w:ascii="宋体" w:hAnsi="宋体"/>
                <w:color w:val="auto"/>
                <w:szCs w:val="21"/>
                <w:highlight w:val="none"/>
              </w:rPr>
              <w:t>1、风量≥5000m³/h,冷量≥</w:t>
            </w:r>
            <w:r>
              <w:rPr>
                <w:color w:val="auto"/>
                <w:highlight w:val="none"/>
              </w:rPr>
              <w:t>70.0kW；</w:t>
            </w:r>
          </w:p>
          <w:p>
            <w:pPr>
              <w:widowControl/>
              <w:jc w:val="left"/>
              <w:textAlignment w:val="center"/>
              <w:rPr>
                <w:color w:val="auto"/>
                <w:highlight w:val="none"/>
              </w:rPr>
            </w:pPr>
            <w:r>
              <w:rPr>
                <w:color w:val="auto"/>
                <w:highlight w:val="none"/>
              </w:rPr>
              <w:t>2、风压（余压）≥350Pa；</w:t>
            </w:r>
          </w:p>
          <w:p>
            <w:pPr>
              <w:widowControl/>
              <w:jc w:val="left"/>
              <w:textAlignment w:val="center"/>
              <w:rPr>
                <w:color w:val="auto"/>
                <w:highlight w:val="none"/>
              </w:rPr>
            </w:pPr>
            <w:r>
              <w:rPr>
                <w:color w:val="auto"/>
                <w:highlight w:val="none"/>
              </w:rPr>
              <w:t>3、输入功率</w:t>
            </w:r>
            <w:r>
              <w:rPr>
                <w:rFonts w:hint="eastAsia"/>
                <w:color w:val="auto"/>
                <w:highlight w:val="none"/>
              </w:rPr>
              <w:t>≤</w:t>
            </w:r>
            <w:r>
              <w:rPr>
                <w:color w:val="auto"/>
                <w:highlight w:val="none"/>
              </w:rPr>
              <w:t>2.2kW；电压:380V；</w:t>
            </w:r>
          </w:p>
          <w:p>
            <w:pPr>
              <w:widowControl/>
              <w:jc w:val="left"/>
              <w:textAlignment w:val="center"/>
              <w:rPr>
                <w:color w:val="auto"/>
                <w:highlight w:val="none"/>
              </w:rPr>
            </w:pPr>
            <w:r>
              <w:rPr>
                <w:color w:val="auto"/>
                <w:highlight w:val="none"/>
              </w:rPr>
              <w:t>4、空气进口温度 干球：35℃，湿球：28℃，水量</w:t>
            </w:r>
            <w:r>
              <w:rPr>
                <w:rFonts w:hint="eastAsia" w:ascii="宋体" w:hAnsi="宋体"/>
                <w:color w:val="auto"/>
                <w:szCs w:val="21"/>
                <w:highlight w:val="none"/>
              </w:rPr>
              <w:t>≥</w:t>
            </w:r>
            <w:r>
              <w:rPr>
                <w:color w:val="auto"/>
                <w:highlight w:val="none"/>
              </w:rPr>
              <w:t>12</w:t>
            </w:r>
            <w:r>
              <w:rPr>
                <w:rFonts w:ascii="宋体" w:hAnsi="宋体"/>
                <w:color w:val="auto"/>
                <w:szCs w:val="21"/>
                <w:highlight w:val="none"/>
              </w:rPr>
              <w:t>.00</w:t>
            </w:r>
            <w:r>
              <w:rPr>
                <w:color w:val="auto"/>
                <w:highlight w:val="none"/>
              </w:rPr>
              <w:t>m³/h；</w:t>
            </w:r>
          </w:p>
          <w:p>
            <w:pPr>
              <w:widowControl/>
              <w:jc w:val="left"/>
              <w:textAlignment w:val="center"/>
              <w:rPr>
                <w:color w:val="auto"/>
                <w:highlight w:val="none"/>
              </w:rPr>
            </w:pPr>
            <w:r>
              <w:rPr>
                <w:color w:val="auto"/>
                <w:highlight w:val="none"/>
              </w:rPr>
              <w:t>5、噪声</w:t>
            </w:r>
            <w:r>
              <w:rPr>
                <w:rFonts w:hint="eastAsia"/>
                <w:color w:val="auto"/>
                <w:highlight w:val="none"/>
              </w:rPr>
              <w:t>≤</w:t>
            </w:r>
            <w:r>
              <w:rPr>
                <w:color w:val="auto"/>
                <w:highlight w:val="none"/>
              </w:rPr>
              <w:t>68dB(A)；盘管水压降</w:t>
            </w:r>
            <w:r>
              <w:rPr>
                <w:rFonts w:hint="eastAsia"/>
                <w:color w:val="auto"/>
                <w:highlight w:val="none"/>
              </w:rPr>
              <w:t>≤</w:t>
            </w:r>
            <w:r>
              <w:rPr>
                <w:color w:val="auto"/>
                <w:highlight w:val="none"/>
              </w:rPr>
              <w:t>76kPa；</w:t>
            </w:r>
          </w:p>
          <w:p>
            <w:pPr>
              <w:widowControl/>
              <w:jc w:val="left"/>
              <w:textAlignment w:val="center"/>
              <w:rPr>
                <w:color w:val="auto"/>
                <w:highlight w:val="none"/>
              </w:rPr>
            </w:pPr>
            <w:r>
              <w:rPr>
                <w:color w:val="auto"/>
                <w:highlight w:val="none"/>
              </w:rPr>
              <w:t>6、机组箱体采用铝合金边框及无冷桥概念设计，双层面板通过铝合金边框发泡而成，箱体内表面光滑平整，不易积灰滋菌；</w:t>
            </w:r>
          </w:p>
          <w:p>
            <w:pPr>
              <w:widowControl/>
              <w:jc w:val="left"/>
              <w:textAlignment w:val="center"/>
              <w:rPr>
                <w:color w:val="auto"/>
                <w:highlight w:val="none"/>
              </w:rPr>
            </w:pPr>
            <w:r>
              <w:rPr>
                <w:color w:val="auto"/>
                <w:highlight w:val="none"/>
              </w:rPr>
              <w:t>7、面板采用无冷桥设计，双层三明治夹心结构，传热系数满足T2级，冷桥因子满足TB1级。</w:t>
            </w:r>
          </w:p>
          <w:p>
            <w:pPr>
              <w:widowControl/>
              <w:jc w:val="left"/>
              <w:textAlignment w:val="center"/>
              <w:rPr>
                <w:color w:val="auto"/>
                <w:highlight w:val="none"/>
              </w:rPr>
            </w:pPr>
            <w:r>
              <w:rPr>
                <w:color w:val="auto"/>
                <w:highlight w:val="none"/>
              </w:rPr>
              <w:t>8、面板内部采用聚氨脂发泡材料，发泡密度</w:t>
            </w:r>
            <w:r>
              <w:rPr>
                <w:rFonts w:hint="eastAsia" w:ascii="宋体" w:hAnsi="宋体"/>
                <w:color w:val="auto"/>
                <w:szCs w:val="21"/>
                <w:highlight w:val="none"/>
              </w:rPr>
              <w:t>≥</w:t>
            </w:r>
            <w:r>
              <w:rPr>
                <w:color w:val="auto"/>
                <w:highlight w:val="none"/>
              </w:rPr>
              <w:t>45kg/m³。面板中间采用环保无氟聚氨脂整体高压发泡，氧指数</w:t>
            </w:r>
            <w:r>
              <w:rPr>
                <w:rFonts w:hint="eastAsia" w:ascii="宋体" w:hAnsi="宋体"/>
                <w:color w:val="auto"/>
                <w:szCs w:val="21"/>
                <w:highlight w:val="none"/>
              </w:rPr>
              <w:t>≥</w:t>
            </w:r>
            <w:r>
              <w:rPr>
                <w:color w:val="auto"/>
                <w:highlight w:val="none"/>
              </w:rPr>
              <w:t>30%。不得采用石棉或玻璃棉作为保温材料。</w:t>
            </w:r>
          </w:p>
          <w:p>
            <w:pPr>
              <w:widowControl/>
              <w:jc w:val="left"/>
              <w:textAlignment w:val="center"/>
              <w:rPr>
                <w:color w:val="auto"/>
                <w:highlight w:val="none"/>
              </w:rPr>
            </w:pPr>
            <w:r>
              <w:rPr>
                <w:color w:val="auto"/>
                <w:highlight w:val="none"/>
              </w:rPr>
              <w:t>9、换热器采用水铝翅片，不腐蚀。</w:t>
            </w:r>
          </w:p>
          <w:p>
            <w:pPr>
              <w:widowControl/>
              <w:jc w:val="left"/>
              <w:textAlignment w:val="center"/>
              <w:rPr>
                <w:color w:val="auto"/>
                <w:highlight w:val="none"/>
              </w:rPr>
            </w:pPr>
            <w:r>
              <w:rPr>
                <w:color w:val="auto"/>
                <w:highlight w:val="none"/>
              </w:rPr>
              <w:t>10、采用三相鼠笼式交流电机，IP54防护等级，F级绝缘。</w:t>
            </w:r>
          </w:p>
          <w:p>
            <w:pPr>
              <w:widowControl/>
              <w:jc w:val="left"/>
              <w:textAlignment w:val="center"/>
              <w:rPr>
                <w:rFonts w:ascii="宋体" w:hAnsi="宋体"/>
                <w:color w:val="auto"/>
                <w:szCs w:val="21"/>
                <w:highlight w:val="none"/>
              </w:rPr>
            </w:pPr>
            <w:r>
              <w:rPr>
                <w:color w:val="auto"/>
                <w:highlight w:val="none"/>
              </w:rPr>
              <w:t>11、设备形式：卧柜式</w:t>
            </w:r>
          </w:p>
        </w:tc>
        <w:tc>
          <w:tcPr>
            <w:tcW w:w="70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olor w:val="auto"/>
                <w:szCs w:val="21"/>
                <w:highlight w:val="none"/>
              </w:rPr>
            </w:pPr>
            <w:r>
              <w:rPr>
                <w:rFonts w:hint="eastAsia"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s="宋体"/>
                <w:color w:val="auto"/>
                <w:kern w:val="0"/>
                <w:szCs w:val="21"/>
                <w:highlight w:val="none"/>
              </w:rPr>
              <w:t>2</w:t>
            </w:r>
          </w:p>
        </w:tc>
        <w:tc>
          <w:tcPr>
            <w:tcW w:w="155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r>
              <w:rPr>
                <w:rFonts w:hint="eastAsia" w:ascii="宋体" w:hAnsi="宋体" w:cs="宋体"/>
                <w:bCs/>
                <w:color w:val="auto"/>
                <w:szCs w:val="21"/>
                <w:highlight w:val="none"/>
              </w:rPr>
              <w:t>风机盘管</w:t>
            </w:r>
          </w:p>
        </w:tc>
        <w:tc>
          <w:tcPr>
            <w:tcW w:w="496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1、风量≥1360m³/h,冷量≥8.0kW；</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2、风压（余压）=30Pa；</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3、输入功率≤156W；电压=220V； </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4、空气进口温度 干球：27℃，湿球：19.5℃，水量≥1.35m³/h</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5、噪声≤48dB(A)；盘管水压降≤50kPa</w:t>
            </w:r>
          </w:p>
          <w:p>
            <w:pPr>
              <w:rPr>
                <w:color w:val="auto"/>
                <w:highlight w:val="none"/>
              </w:rPr>
            </w:pPr>
            <w:r>
              <w:rPr>
                <w:rFonts w:hint="eastAsia" w:ascii="宋体" w:hAnsi="宋体" w:cs="宋体"/>
                <w:color w:val="auto"/>
                <w:kern w:val="0"/>
                <w:szCs w:val="21"/>
                <w:highlight w:val="none"/>
              </w:rPr>
              <w:t>6、设备形式：卧式暗装</w:t>
            </w:r>
          </w:p>
        </w:tc>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r>
              <w:rPr>
                <w:rFonts w:hint="eastAsia" w:ascii="宋体" w:hAnsi="宋体" w:cs="宋体"/>
                <w:color w:val="auto"/>
                <w:kern w:val="0"/>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hAnsi="宋体"/>
                <w:color w:val="auto"/>
                <w:szCs w:val="21"/>
                <w:highlight w:val="none"/>
              </w:rPr>
            </w:pPr>
            <w:r>
              <w:rPr>
                <w:rFonts w:hint="eastAsia" w:ascii="宋体" w:hAnsi="宋体" w:cs="宋体"/>
                <w:color w:val="auto"/>
                <w:kern w:val="0"/>
                <w:szCs w:val="21"/>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hint="eastAsia" w:ascii="宋体" w:hAnsi="宋体" w:cs="宋体"/>
                <w:color w:val="auto"/>
                <w:kern w:val="0"/>
                <w:szCs w:val="21"/>
                <w:highlight w:val="none"/>
              </w:rPr>
              <w:t>3</w:t>
            </w:r>
          </w:p>
        </w:tc>
        <w:tc>
          <w:tcPr>
            <w:tcW w:w="155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r>
              <w:rPr>
                <w:rFonts w:hint="eastAsia" w:ascii="宋体" w:hAnsi="宋体" w:cs="宋体"/>
                <w:bCs/>
                <w:color w:val="auto"/>
                <w:szCs w:val="21"/>
                <w:highlight w:val="none"/>
              </w:rPr>
              <w:t>风机盘管</w:t>
            </w:r>
          </w:p>
        </w:tc>
        <w:tc>
          <w:tcPr>
            <w:tcW w:w="496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1、风量≥1020m³/h,冷量≥6.0kW</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2、风压（余压）=30Pa</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3、输入功率≤108W；电压=220V； </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4、空气进口温度 干球：27℃，湿球：19.5℃，水量≥1.00m³/h</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5、噪声≤47dB(A)；盘管水压降≤50kPa</w:t>
            </w:r>
          </w:p>
          <w:p>
            <w:pPr>
              <w:rPr>
                <w:color w:val="auto"/>
                <w:highlight w:val="none"/>
              </w:rPr>
            </w:pPr>
            <w:r>
              <w:rPr>
                <w:rFonts w:hint="eastAsia" w:ascii="宋体" w:hAnsi="宋体" w:cs="宋体"/>
                <w:color w:val="auto"/>
                <w:kern w:val="0"/>
                <w:szCs w:val="21"/>
                <w:highlight w:val="none"/>
              </w:rPr>
              <w:t>6、设备形式：卧式暗装</w:t>
            </w:r>
          </w:p>
        </w:tc>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r>
              <w:rPr>
                <w:rFonts w:hint="eastAsia" w:ascii="宋体" w:hAnsi="宋体" w:cs="宋体"/>
                <w:color w:val="auto"/>
                <w:kern w:val="0"/>
                <w:szCs w:val="21"/>
                <w:highlight w:val="none"/>
              </w:rPr>
              <w:t>台</w:t>
            </w: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4"/>
              <w:rPr>
                <w:color w:val="auto"/>
                <w:szCs w:val="21"/>
                <w:highlight w:val="none"/>
              </w:rPr>
            </w:pPr>
            <w:r>
              <w:rPr>
                <w:rFonts w:hint="eastAsia" w:ascii="宋体" w:hAnsi="宋体" w:cs="宋体"/>
                <w:color w:val="auto"/>
                <w:szCs w:val="21"/>
                <w:highlight w:val="none"/>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highlight w:val="none"/>
              </w:rPr>
            </w:pPr>
            <w:r>
              <w:rPr>
                <w:rFonts w:ascii="宋体" w:hAnsi="宋体"/>
                <w:color w:val="auto"/>
                <w:szCs w:val="21"/>
                <w:highlight w:val="none"/>
              </w:rPr>
              <w:t>…</w:t>
            </w:r>
          </w:p>
        </w:tc>
        <w:tc>
          <w:tcPr>
            <w:tcW w:w="1559"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r>
              <w:rPr>
                <w:color w:val="auto"/>
                <w:highlight w:val="none"/>
              </w:rPr>
              <w:t>…</w:t>
            </w:r>
          </w:p>
        </w:tc>
        <w:tc>
          <w:tcPr>
            <w:tcW w:w="4962" w:type="dxa"/>
            <w:tcBorders>
              <w:top w:val="single" w:color="auto" w:sz="4" w:space="0"/>
              <w:left w:val="single" w:color="auto" w:sz="4" w:space="0"/>
              <w:bottom w:val="single" w:color="auto" w:sz="4" w:space="0"/>
              <w:right w:val="single" w:color="auto" w:sz="4" w:space="0"/>
            </w:tcBorders>
            <w:noWrap/>
            <w:vAlign w:val="center"/>
          </w:tcPr>
          <w:p>
            <w:pPr>
              <w:jc w:val="center"/>
              <w:rPr>
                <w:color w:val="auto"/>
                <w:highlight w:val="none"/>
              </w:rPr>
            </w:pPr>
            <w:r>
              <w:rPr>
                <w:color w:val="auto"/>
                <w:highlight w:val="none"/>
              </w:rPr>
              <w:t>…</w:t>
            </w:r>
          </w:p>
        </w:tc>
        <w:tc>
          <w:tcPr>
            <w:tcW w:w="708" w:type="dxa"/>
            <w:tcBorders>
              <w:top w:val="single" w:color="auto" w:sz="4" w:space="0"/>
              <w:left w:val="single" w:color="auto" w:sz="4" w:space="0"/>
              <w:bottom w:val="single" w:color="auto" w:sz="4" w:space="0"/>
              <w:right w:val="single" w:color="auto" w:sz="4" w:space="0"/>
            </w:tcBorders>
            <w:noWrap/>
          </w:tcPr>
          <w:p>
            <w:pPr>
              <w:jc w:val="center"/>
              <w:rPr>
                <w:color w:val="auto"/>
                <w:highlight w:val="none"/>
              </w:rPr>
            </w:pPr>
            <w:r>
              <w:rPr>
                <w:color w:val="auto"/>
                <w:highlight w:val="none"/>
              </w:rPr>
              <w:t>…</w:t>
            </w: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4"/>
              <w:rPr>
                <w:color w:val="auto"/>
                <w:szCs w:val="21"/>
                <w:highlight w:val="none"/>
              </w:rPr>
            </w:pPr>
            <w:r>
              <w:rPr>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8755" w:type="dxa"/>
            <w:gridSpan w:val="5"/>
            <w:tcBorders>
              <w:top w:val="single" w:color="auto" w:sz="4" w:space="0"/>
              <w:left w:val="single" w:color="auto" w:sz="4" w:space="0"/>
              <w:bottom w:val="single" w:color="auto" w:sz="4" w:space="0"/>
              <w:right w:val="single" w:color="auto" w:sz="4" w:space="0"/>
            </w:tcBorders>
            <w:noWrap/>
            <w:vAlign w:val="center"/>
          </w:tcPr>
          <w:p>
            <w:pPr>
              <w:pStyle w:val="4"/>
              <w:rPr>
                <w:color w:val="auto"/>
                <w:szCs w:val="21"/>
                <w:highlight w:val="none"/>
              </w:rPr>
            </w:pPr>
            <w:r>
              <w:rPr>
                <w:rFonts w:hint="eastAsia"/>
                <w:color w:val="auto"/>
                <w:szCs w:val="21"/>
                <w:highlight w:val="none"/>
              </w:rPr>
              <w:t>具体详见《第二章 采购需求》</w:t>
            </w:r>
          </w:p>
        </w:tc>
      </w:tr>
    </w:tbl>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合同履行期限：2024年9月1日之前第85至122项设备到货，之后根据采购人的民族艺术教育教学综合楼主体工程进度要求，按图纸要求进行完成安装调试。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pPr>
        <w:spacing w:line="360" w:lineRule="auto"/>
        <w:rPr>
          <w:rFonts w:ascii="黑体" w:hAnsi="黑体" w:eastAsia="黑体"/>
          <w:b/>
          <w:bCs/>
          <w:color w:val="auto"/>
          <w:sz w:val="24"/>
          <w:highlight w:val="none"/>
        </w:rPr>
      </w:pPr>
      <w:bookmarkStart w:id="8" w:name="_Toc35393622"/>
      <w:bookmarkStart w:id="9" w:name="_Toc28359080"/>
      <w:bookmarkStart w:id="10" w:name="_Toc28359003"/>
      <w:bookmarkStart w:id="11" w:name="_Toc35393791"/>
      <w:r>
        <w:rPr>
          <w:rFonts w:hint="eastAsia" w:ascii="黑体" w:hAnsi="黑体" w:eastAsia="黑体"/>
          <w:b/>
          <w:bCs/>
          <w:color w:val="auto"/>
          <w:sz w:val="24"/>
          <w:highlight w:val="none"/>
        </w:rPr>
        <w:t>二、申请人的资格要求：</w:t>
      </w:r>
      <w:bookmarkEnd w:id="8"/>
      <w:bookmarkEnd w:id="9"/>
      <w:bookmarkEnd w:id="10"/>
      <w:bookmarkEnd w:id="11"/>
    </w:p>
    <w:p>
      <w:pPr>
        <w:spacing w:line="360" w:lineRule="auto"/>
        <w:ind w:firstLine="420" w:firstLineChars="200"/>
        <w:rPr>
          <w:rFonts w:ascii="宋体" w:hAnsi="宋体"/>
          <w:color w:val="auto"/>
          <w:szCs w:val="21"/>
          <w:highlight w:val="none"/>
        </w:rPr>
      </w:pPr>
      <w:bookmarkStart w:id="12" w:name="_Hlk51746371"/>
      <w:r>
        <w:rPr>
          <w:rFonts w:hint="eastAsia" w:ascii="宋体" w:hAnsi="宋体"/>
          <w:color w:val="auto"/>
          <w:szCs w:val="21"/>
          <w:highlight w:val="none"/>
        </w:rPr>
        <w:t>1.满足《中华人民共和国政府采购法》第二十二条规定；</w:t>
      </w:r>
    </w:p>
    <w:p>
      <w:pPr>
        <w:spacing w:line="360" w:lineRule="auto"/>
        <w:ind w:firstLine="420" w:firstLineChars="200"/>
        <w:rPr>
          <w:rFonts w:ascii="宋体" w:hAnsi="宋体"/>
          <w:color w:val="auto"/>
          <w:szCs w:val="21"/>
          <w:highlight w:val="none"/>
        </w:rPr>
      </w:pPr>
      <w:bookmarkStart w:id="13" w:name="_Toc28359081"/>
      <w:bookmarkStart w:id="14"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pPr>
        <w:spacing w:line="360" w:lineRule="auto"/>
        <w:ind w:firstLine="420" w:firstLineChars="200"/>
        <w:rPr>
          <w:rStyle w:val="7"/>
          <w:color w:val="auto"/>
          <w:highlight w:val="none"/>
        </w:rPr>
      </w:pPr>
      <w:r>
        <w:rPr>
          <w:rFonts w:hint="eastAsia" w:ascii="宋体" w:hAnsi="宋体"/>
          <w:color w:val="auto"/>
          <w:szCs w:val="21"/>
          <w:highlight w:val="none"/>
        </w:rPr>
        <w:t>3.本项目的特定资格要求：无</w:t>
      </w:r>
    </w:p>
    <w:bookmarkEnd w:id="12"/>
    <w:p>
      <w:pPr>
        <w:spacing w:line="360" w:lineRule="auto"/>
        <w:rPr>
          <w:rFonts w:ascii="黑体" w:hAnsi="黑体" w:eastAsia="黑体"/>
          <w:b/>
          <w:bCs/>
          <w:color w:val="auto"/>
          <w:sz w:val="24"/>
          <w:highlight w:val="none"/>
        </w:rPr>
      </w:pPr>
      <w:bookmarkStart w:id="15" w:name="_Toc35393623"/>
      <w:bookmarkStart w:id="16" w:name="_Toc35393792"/>
      <w:r>
        <w:rPr>
          <w:rFonts w:hint="eastAsia" w:ascii="黑体" w:hAnsi="黑体" w:eastAsia="黑体"/>
          <w:b/>
          <w:bCs/>
          <w:color w:val="auto"/>
          <w:sz w:val="24"/>
          <w:highlight w:val="none"/>
        </w:rPr>
        <w:t>三、获取招标文件</w:t>
      </w:r>
      <w:bookmarkEnd w:id="13"/>
      <w:bookmarkEnd w:id="14"/>
      <w:bookmarkEnd w:id="15"/>
      <w:bookmarkEnd w:id="16"/>
    </w:p>
    <w:p>
      <w:pPr>
        <w:spacing w:line="360" w:lineRule="auto"/>
        <w:ind w:firstLine="540"/>
        <w:rPr>
          <w:rFonts w:ascii="Cambria" w:hAnsi="Cambria" w:cs="Cambria"/>
          <w:bCs/>
          <w:color w:val="auto"/>
          <w:kern w:val="0"/>
          <w:szCs w:val="21"/>
          <w:highlight w:val="none"/>
        </w:rPr>
      </w:pPr>
      <w:r>
        <w:rPr>
          <w:rFonts w:hint="eastAsia" w:ascii="宋体" w:hAnsi="宋体" w:cs="宋体"/>
          <w:bCs/>
          <w:color w:val="auto"/>
          <w:kern w:val="0"/>
          <w:szCs w:val="21"/>
          <w:highlight w:val="none"/>
        </w:rPr>
        <w:t xml:space="preserve">时间： </w:t>
      </w:r>
      <w:r>
        <w:rPr>
          <w:rFonts w:hint="eastAsia" w:ascii="宋体" w:hAnsi="宋体" w:cs="宋体"/>
          <w:bCs/>
          <w:color w:val="auto"/>
          <w:kern w:val="0"/>
          <w:szCs w:val="21"/>
          <w:highlight w:val="none"/>
          <w:u w:val="single"/>
        </w:rPr>
        <w:t>202</w:t>
      </w:r>
      <w:r>
        <w:rPr>
          <w:rFonts w:ascii="宋体" w:hAnsi="宋体" w:cs="宋体"/>
          <w:bCs/>
          <w:color w:val="auto"/>
          <w:kern w:val="0"/>
          <w:szCs w:val="21"/>
          <w:highlight w:val="none"/>
          <w:u w:val="single"/>
        </w:rPr>
        <w:t>4</w:t>
      </w:r>
      <w:r>
        <w:rPr>
          <w:rFonts w:hint="eastAsia" w:ascii="宋体" w:hAnsi="宋体" w:cs="宋体"/>
          <w:bCs/>
          <w:color w:val="auto"/>
          <w:kern w:val="0"/>
          <w:szCs w:val="21"/>
          <w:highlight w:val="none"/>
          <w:u w:val="single"/>
        </w:rPr>
        <w:t xml:space="preserve">年 </w:t>
      </w:r>
      <w:r>
        <w:rPr>
          <w:rFonts w:ascii="宋体" w:hAnsi="宋体" w:cs="宋体"/>
          <w:bCs/>
          <w:color w:val="auto"/>
          <w:kern w:val="0"/>
          <w:szCs w:val="21"/>
          <w:highlight w:val="none"/>
          <w:u w:val="single"/>
        </w:rPr>
        <w:t>7</w:t>
      </w:r>
      <w:r>
        <w:rPr>
          <w:rFonts w:hint="eastAsia" w:ascii="宋体" w:hAnsi="宋体" w:cs="宋体"/>
          <w:bCs/>
          <w:color w:val="auto"/>
          <w:kern w:val="0"/>
          <w:szCs w:val="21"/>
          <w:highlight w:val="none"/>
          <w:u w:val="single"/>
        </w:rPr>
        <w:t>月</w:t>
      </w:r>
      <w:r>
        <w:rPr>
          <w:rFonts w:ascii="宋体" w:hAnsi="宋体" w:cs="宋体"/>
          <w:bCs/>
          <w:color w:val="auto"/>
          <w:kern w:val="0"/>
          <w:szCs w:val="21"/>
          <w:highlight w:val="none"/>
          <w:u w:val="single"/>
        </w:rPr>
        <w:t>22</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w:t>
      </w:r>
      <w:r>
        <w:rPr>
          <w:rFonts w:ascii="宋体" w:hAnsi="宋体" w:cs="宋体"/>
          <w:bCs/>
          <w:color w:val="auto"/>
          <w:kern w:val="0"/>
          <w:szCs w:val="21"/>
          <w:highlight w:val="none"/>
          <w:u w:val="single"/>
        </w:rPr>
        <w:t>4</w:t>
      </w:r>
      <w:r>
        <w:rPr>
          <w:rFonts w:hint="eastAsia" w:ascii="宋体" w:hAnsi="宋体" w:cs="宋体"/>
          <w:bCs/>
          <w:color w:val="auto"/>
          <w:kern w:val="0"/>
          <w:szCs w:val="21"/>
          <w:highlight w:val="none"/>
          <w:u w:val="single"/>
        </w:rPr>
        <w:t xml:space="preserve">年 </w:t>
      </w:r>
      <w:r>
        <w:rPr>
          <w:rFonts w:ascii="宋体" w:hAnsi="宋体" w:cs="宋体"/>
          <w:bCs/>
          <w:color w:val="auto"/>
          <w:kern w:val="0"/>
          <w:szCs w:val="21"/>
          <w:highlight w:val="none"/>
          <w:u w:val="single"/>
        </w:rPr>
        <w:t>7</w:t>
      </w:r>
      <w:r>
        <w:rPr>
          <w:rFonts w:hint="eastAsia" w:ascii="宋体" w:hAnsi="宋体" w:cs="宋体"/>
          <w:bCs/>
          <w:color w:val="auto"/>
          <w:kern w:val="0"/>
          <w:szCs w:val="21"/>
          <w:highlight w:val="none"/>
          <w:u w:val="single"/>
        </w:rPr>
        <w:t>月</w:t>
      </w:r>
      <w:r>
        <w:rPr>
          <w:rFonts w:ascii="宋体" w:hAnsi="宋体" w:cs="宋体"/>
          <w:bCs/>
          <w:color w:val="auto"/>
          <w:kern w:val="0"/>
          <w:szCs w:val="21"/>
          <w:highlight w:val="none"/>
          <w:u w:val="single"/>
        </w:rPr>
        <w:t>29</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w:t>
      </w:r>
      <w:r>
        <w:rPr>
          <w:rFonts w:hint="eastAsia" w:ascii="Cambria" w:hAnsi="Cambria" w:cs="Cambria"/>
          <w:bCs/>
          <w:color w:val="auto"/>
          <w:kern w:val="0"/>
          <w:szCs w:val="21"/>
          <w:highlight w:val="none"/>
        </w:rPr>
        <w:t>每天上午</w:t>
      </w:r>
      <w:r>
        <w:rPr>
          <w:rFonts w:ascii="Cambria" w:hAnsi="Cambria" w:cs="Cambria"/>
          <w:bCs/>
          <w:color w:val="auto"/>
          <w:kern w:val="0"/>
          <w:szCs w:val="21"/>
          <w:highlight w:val="none"/>
          <w:u w:val="single"/>
        </w:rPr>
        <w:t>0</w:t>
      </w:r>
      <w:r>
        <w:rPr>
          <w:rFonts w:hint="eastAsia" w:ascii="Cambria" w:hAnsi="Cambria" w:cs="Cambria"/>
          <w:bCs/>
          <w:color w:val="auto"/>
          <w:kern w:val="0"/>
          <w:szCs w:val="21"/>
          <w:highlight w:val="none"/>
          <w:u w:val="single"/>
        </w:rPr>
        <w:t>：</w:t>
      </w:r>
      <w:r>
        <w:rPr>
          <w:rFonts w:ascii="Cambria" w:hAnsi="Cambria" w:cs="Cambria"/>
          <w:bCs/>
          <w:color w:val="auto"/>
          <w:kern w:val="0"/>
          <w:szCs w:val="21"/>
          <w:highlight w:val="none"/>
          <w:u w:val="single"/>
        </w:rPr>
        <w:t>00</w:t>
      </w:r>
      <w:r>
        <w:rPr>
          <w:rFonts w:hint="eastAsia" w:ascii="Cambria" w:hAnsi="Cambria" w:cs="Cambria"/>
          <w:bCs/>
          <w:color w:val="auto"/>
          <w:kern w:val="0"/>
          <w:szCs w:val="21"/>
          <w:highlight w:val="none"/>
          <w:u w:val="single"/>
        </w:rPr>
        <w:t>至</w:t>
      </w:r>
      <w:r>
        <w:rPr>
          <w:rFonts w:ascii="Cambria" w:hAnsi="Cambria" w:cs="Cambria"/>
          <w:bCs/>
          <w:color w:val="auto"/>
          <w:kern w:val="0"/>
          <w:szCs w:val="21"/>
          <w:highlight w:val="none"/>
          <w:u w:val="single"/>
        </w:rPr>
        <w:t>12:00</w:t>
      </w:r>
      <w:r>
        <w:rPr>
          <w:rFonts w:hint="eastAsia" w:ascii="Cambria" w:hAnsi="Cambria" w:cs="Cambria"/>
          <w:bCs/>
          <w:color w:val="auto"/>
          <w:kern w:val="0"/>
          <w:szCs w:val="21"/>
          <w:highlight w:val="none"/>
        </w:rPr>
        <w:t>，</w:t>
      </w:r>
      <w:r>
        <w:rPr>
          <w:rFonts w:hint="eastAsia" w:ascii="Cambria" w:hAnsi="Cambria" w:cs="Cambria"/>
          <w:bCs/>
          <w:color w:val="auto"/>
          <w:kern w:val="0"/>
          <w:szCs w:val="21"/>
          <w:highlight w:val="none"/>
          <w:u w:val="single"/>
        </w:rPr>
        <w:t>下午</w:t>
      </w:r>
      <w:r>
        <w:rPr>
          <w:rFonts w:ascii="Cambria" w:hAnsi="Cambria" w:cs="Cambria"/>
          <w:bCs/>
          <w:color w:val="auto"/>
          <w:kern w:val="0"/>
          <w:szCs w:val="21"/>
          <w:highlight w:val="none"/>
          <w:u w:val="single"/>
        </w:rPr>
        <w:t>12:00</w:t>
      </w:r>
      <w:r>
        <w:rPr>
          <w:rFonts w:hint="eastAsia" w:ascii="Cambria" w:hAnsi="Cambria" w:cs="Cambria"/>
          <w:bCs/>
          <w:color w:val="auto"/>
          <w:kern w:val="0"/>
          <w:szCs w:val="21"/>
          <w:highlight w:val="none"/>
          <w:u w:val="single"/>
        </w:rPr>
        <w:t>至</w:t>
      </w:r>
      <w:r>
        <w:rPr>
          <w:rFonts w:ascii="Cambria" w:hAnsi="Cambria" w:cs="Cambria"/>
          <w:bCs/>
          <w:color w:val="auto"/>
          <w:kern w:val="0"/>
          <w:szCs w:val="21"/>
          <w:highlight w:val="none"/>
          <w:u w:val="single"/>
        </w:rPr>
        <w:t>23:59</w:t>
      </w:r>
      <w:r>
        <w:rPr>
          <w:rFonts w:hint="eastAsia" w:ascii="Cambria" w:hAnsi="Cambria" w:cs="Cambria"/>
          <w:bCs/>
          <w:color w:val="auto"/>
          <w:kern w:val="0"/>
          <w:szCs w:val="21"/>
          <w:highlight w:val="none"/>
          <w:u w:val="single"/>
        </w:rPr>
        <w:t>　</w:t>
      </w:r>
      <w:r>
        <w:rPr>
          <w:rFonts w:hint="eastAsia" w:ascii="Cambria" w:hAnsi="Cambria" w:cs="Cambria"/>
          <w:bCs/>
          <w:color w:val="auto"/>
          <w:kern w:val="0"/>
          <w:szCs w:val="21"/>
          <w:highlight w:val="none"/>
        </w:rPr>
        <w:t>（北京时间）</w:t>
      </w:r>
    </w:p>
    <w:p>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pPr>
        <w:spacing w:line="360" w:lineRule="auto"/>
        <w:rPr>
          <w:rFonts w:ascii="黑体" w:hAnsi="黑体" w:eastAsia="黑体"/>
          <w:b/>
          <w:bCs/>
          <w:color w:val="auto"/>
          <w:sz w:val="24"/>
          <w:highlight w:val="none"/>
        </w:rPr>
      </w:pPr>
      <w:bookmarkStart w:id="17" w:name="_Toc28359082"/>
      <w:bookmarkStart w:id="18" w:name="_Toc28359005"/>
      <w:bookmarkStart w:id="19" w:name="_Toc35393793"/>
      <w:bookmarkStart w:id="20" w:name="_Toc35393624"/>
      <w:r>
        <w:rPr>
          <w:rFonts w:hint="eastAsia" w:ascii="黑体" w:hAnsi="黑体" w:eastAsia="黑体"/>
          <w:b/>
          <w:bCs/>
          <w:color w:val="auto"/>
          <w:sz w:val="24"/>
          <w:highlight w:val="none"/>
        </w:rPr>
        <w:t>四、提交投标文件</w:t>
      </w:r>
      <w:bookmarkEnd w:id="17"/>
      <w:bookmarkEnd w:id="18"/>
      <w:r>
        <w:rPr>
          <w:rFonts w:hint="eastAsia" w:ascii="黑体" w:hAnsi="黑体" w:eastAsia="黑体"/>
          <w:b/>
          <w:bCs/>
          <w:color w:val="auto"/>
          <w:sz w:val="24"/>
          <w:highlight w:val="none"/>
        </w:rPr>
        <w:t>截止时间、开标时间和地点</w:t>
      </w:r>
      <w:bookmarkEnd w:id="19"/>
      <w:bookmarkEnd w:id="20"/>
    </w:p>
    <w:p>
      <w:pPr>
        <w:spacing w:line="360" w:lineRule="auto"/>
        <w:ind w:firstLine="420" w:firstLineChars="200"/>
        <w:rPr>
          <w:rFonts w:ascii="宋体" w:hAnsi="宋体"/>
          <w:bCs/>
          <w:color w:val="auto"/>
          <w:szCs w:val="21"/>
          <w:highlight w:val="none"/>
        </w:rPr>
      </w:pPr>
      <w:bookmarkStart w:id="21" w:name="_Toc35393625"/>
      <w:bookmarkStart w:id="22" w:name="_Toc35393794"/>
      <w:bookmarkStart w:id="23" w:name="_Toc28359084"/>
      <w:bookmarkStart w:id="24" w:name="_Toc28359007"/>
      <w:r>
        <w:rPr>
          <w:rFonts w:ascii="宋体" w:hAnsi="宋体"/>
          <w:bCs/>
          <w:color w:val="auto"/>
          <w:szCs w:val="21"/>
          <w:highlight w:val="none"/>
          <w:u w:val="single"/>
        </w:rPr>
        <w:t>2024</w:t>
      </w:r>
      <w:r>
        <w:rPr>
          <w:rFonts w:hint="eastAsia" w:ascii="宋体" w:hAnsi="宋体"/>
          <w:bCs/>
          <w:color w:val="auto"/>
          <w:szCs w:val="21"/>
          <w:highlight w:val="none"/>
          <w:u w:val="single"/>
        </w:rPr>
        <w:t xml:space="preserve"> 年</w:t>
      </w:r>
      <w:r>
        <w:rPr>
          <w:rFonts w:ascii="宋体" w:hAnsi="宋体"/>
          <w:bCs/>
          <w:color w:val="auto"/>
          <w:szCs w:val="21"/>
          <w:highlight w:val="none"/>
          <w:u w:val="single"/>
        </w:rPr>
        <w:t>8</w:t>
      </w:r>
      <w:r>
        <w:rPr>
          <w:rFonts w:hint="eastAsia" w:ascii="宋体" w:hAnsi="宋体"/>
          <w:bCs/>
          <w:color w:val="auto"/>
          <w:szCs w:val="21"/>
          <w:highlight w:val="none"/>
          <w:u w:val="single"/>
        </w:rPr>
        <w:t>月</w:t>
      </w:r>
      <w:r>
        <w:rPr>
          <w:rFonts w:ascii="宋体" w:hAnsi="宋体"/>
          <w:bCs/>
          <w:color w:val="auto"/>
          <w:szCs w:val="21"/>
          <w:highlight w:val="none"/>
          <w:u w:val="single"/>
        </w:rPr>
        <w:t>12</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时</w:t>
      </w:r>
      <w:r>
        <w:rPr>
          <w:rFonts w:ascii="宋体" w:hAnsi="宋体"/>
          <w:bCs/>
          <w:color w:val="auto"/>
          <w:szCs w:val="21"/>
          <w:highlight w:val="none"/>
          <w:u w:val="single"/>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开标地点：广西政府采购云平台电子开标大厅</w:t>
      </w:r>
    </w:p>
    <w:p>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1"/>
      <w:bookmarkEnd w:id="22"/>
      <w:bookmarkEnd w:id="23"/>
      <w:bookmarkEnd w:id="24"/>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spacing w:line="360" w:lineRule="auto"/>
        <w:rPr>
          <w:rFonts w:ascii="黑体" w:hAnsi="黑体" w:eastAsia="黑体"/>
          <w:b/>
          <w:bCs/>
          <w:color w:val="auto"/>
          <w:sz w:val="24"/>
          <w:highlight w:val="none"/>
        </w:rPr>
      </w:pPr>
      <w:bookmarkStart w:id="25" w:name="_Toc35393626"/>
      <w:bookmarkStart w:id="26" w:name="_Toc35393795"/>
      <w:r>
        <w:rPr>
          <w:rFonts w:hint="eastAsia" w:ascii="黑体" w:hAnsi="黑体" w:eastAsia="黑体"/>
          <w:b/>
          <w:bCs/>
          <w:color w:val="auto"/>
          <w:sz w:val="24"/>
          <w:highlight w:val="none"/>
        </w:rPr>
        <w:t>六、其他补充事宜</w:t>
      </w:r>
      <w:bookmarkEnd w:id="25"/>
      <w:bookmarkEnd w:id="26"/>
    </w:p>
    <w:p>
      <w:pPr>
        <w:spacing w:line="360" w:lineRule="auto"/>
        <w:ind w:firstLine="420" w:firstLineChars="200"/>
        <w:rPr>
          <w:rFonts w:ascii="宋体" w:hAnsi="宋体" w:cs="宋体"/>
          <w:color w:val="auto"/>
          <w:kern w:val="0"/>
          <w:szCs w:val="21"/>
          <w:highlight w:val="none"/>
        </w:rPr>
      </w:pPr>
      <w:bookmarkStart w:id="27" w:name="_Hlk37429595"/>
      <w:bookmarkStart w:id="28" w:name="_Hlk37429585"/>
      <w:r>
        <w:rPr>
          <w:rFonts w:hint="eastAsia" w:ascii="宋体" w:hAnsi="宋体" w:cs="宋体"/>
          <w:color w:val="auto"/>
          <w:kern w:val="0"/>
          <w:szCs w:val="21"/>
          <w:highlight w:val="none"/>
        </w:rPr>
        <w:t>1.网上查询地址</w:t>
      </w:r>
    </w:p>
    <w:bookmarkEnd w:id="27"/>
    <w:bookmarkEnd w:id="28"/>
    <w:p>
      <w:pPr>
        <w:spacing w:line="360" w:lineRule="auto"/>
        <w:ind w:firstLine="424" w:firstLineChars="202"/>
        <w:rPr>
          <w:rFonts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中国政府采购网（ http://www.ccgp.gov.cn）</w:t>
      </w:r>
    </w:p>
    <w:p>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广西壮族自治区政府采购网（ http://zfcg.gxzf.gov.cn）</w:t>
      </w:r>
    </w:p>
    <w:p>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 xml:space="preserve">广西壮族自治区公共资源交易中心（ </w:t>
      </w:r>
      <w:r>
        <w:rPr>
          <w:color w:val="auto"/>
          <w:highlight w:val="none"/>
        </w:rPr>
        <w:fldChar w:fldCharType="begin"/>
      </w:r>
      <w:r>
        <w:rPr>
          <w:color w:val="auto"/>
          <w:highlight w:val="none"/>
        </w:rPr>
        <w:instrText xml:space="preserve"> HYPERLINK "http://gxggzy.gxzf.gov.cn/" </w:instrText>
      </w:r>
      <w:r>
        <w:rPr>
          <w:color w:val="auto"/>
          <w:highlight w:val="none"/>
        </w:rPr>
        <w:fldChar w:fldCharType="separate"/>
      </w:r>
      <w:r>
        <w:rPr>
          <w:rFonts w:hint="eastAsia"/>
          <w:color w:val="auto"/>
          <w:highlight w:val="none"/>
        </w:rPr>
        <w:t>http://gxggzy.gxzf.gov.cn/</w:t>
      </w:r>
      <w:r>
        <w:rPr>
          <w:rFonts w:hint="eastAsia"/>
          <w:color w:val="auto"/>
          <w:highlight w:val="none"/>
        </w:rPr>
        <w:fldChar w:fldCharType="end"/>
      </w:r>
      <w:r>
        <w:rPr>
          <w:rFonts w:hint="eastAsia" w:ascii="宋体" w:hAnsi="宋体" w:cs="宋体"/>
          <w:color w:val="auto"/>
          <w:kern w:val="0"/>
          <w:szCs w:val="21"/>
          <w:highlight w:val="none"/>
        </w:rPr>
        <w:t>）</w:t>
      </w:r>
    </w:p>
    <w:p>
      <w:pPr>
        <w:spacing w:line="360" w:lineRule="auto"/>
        <w:ind w:firstLine="424" w:firstLineChars="202"/>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29"/>
    <w:p>
      <w:pPr>
        <w:widowControl/>
        <w:spacing w:line="360" w:lineRule="auto"/>
        <w:ind w:firstLine="420" w:firstLineChars="200"/>
        <w:jc w:val="left"/>
        <w:rPr>
          <w:rFonts w:ascii="宋体" w:hAnsi="宋体"/>
          <w:color w:val="auto"/>
          <w:szCs w:val="21"/>
          <w:highlight w:val="none"/>
        </w:rPr>
      </w:pPr>
      <w:bookmarkStart w:id="30" w:name="_Toc35393627"/>
      <w:bookmarkStart w:id="31" w:name="_Toc35393796"/>
      <w:bookmarkStart w:id="32" w:name="_Toc28359008"/>
      <w:bookmarkStart w:id="33" w:name="_Toc28359085"/>
      <w:r>
        <w:rPr>
          <w:rFonts w:hint="eastAsia" w:ascii="宋体" w:hAnsi="宋体" w:cs="宋体"/>
          <w:color w:val="auto"/>
          <w:kern w:val="0"/>
          <w:szCs w:val="21"/>
          <w:highlight w:val="none"/>
        </w:rPr>
        <w:t>3.投标人</w:t>
      </w:r>
      <w:r>
        <w:rPr>
          <w:rFonts w:hint="eastAsia" w:ascii="宋体" w:hAnsi="宋体"/>
          <w:color w:val="auto"/>
          <w:szCs w:val="21"/>
          <w:highlight w:val="none"/>
        </w:rPr>
        <w:t>投标注意事项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投标人登录广西政府采购云平台，依次进入“服务中心-帮助文档-操作流程-电子招投标-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”查看电子投标具体操作流程。</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w:t>
      </w:r>
    </w:p>
    <w:p>
      <w:pPr>
        <w:spacing w:line="360" w:lineRule="auto"/>
        <w:ind w:firstLine="424" w:firstLineChars="202"/>
        <w:rPr>
          <w:rFonts w:ascii="宋体" w:hAnsi="宋体" w:cs="宋体"/>
          <w:color w:val="auto"/>
          <w:kern w:val="0"/>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pPr>
        <w:spacing w:line="4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pPr>
        <w:spacing w:line="400" w:lineRule="exact"/>
        <w:ind w:firstLine="567" w:firstLineChars="27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广西艺术学院　　</w:t>
      </w:r>
    </w:p>
    <w:p>
      <w:pPr>
        <w:spacing w:line="400" w:lineRule="exact"/>
        <w:ind w:firstLine="567" w:firstLineChars="270"/>
        <w:jc w:val="left"/>
        <w:rPr>
          <w:rFonts w:ascii="宋体" w:hAnsi="宋体"/>
          <w:color w:val="auto"/>
          <w:szCs w:val="21"/>
          <w:highlight w:val="none"/>
        </w:rPr>
      </w:pPr>
      <w:r>
        <w:rPr>
          <w:rFonts w:hint="eastAsia" w:ascii="宋体" w:hAnsi="宋体"/>
          <w:color w:val="auto"/>
          <w:szCs w:val="21"/>
          <w:highlight w:val="none"/>
        </w:rPr>
        <w:t>地址：</w:t>
      </w:r>
    </w:p>
    <w:p>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u w:val="single"/>
        </w:rPr>
        <w:t>南湖校区 南宁市教育路7号，邮编530022</w:t>
      </w:r>
    </w:p>
    <w:p>
      <w:pPr>
        <w:spacing w:line="400" w:lineRule="exact"/>
        <w:ind w:firstLine="567" w:firstLineChars="270"/>
        <w:jc w:val="left"/>
        <w:rPr>
          <w:rFonts w:ascii="宋体" w:hAnsi="宋体"/>
          <w:color w:val="auto"/>
          <w:szCs w:val="21"/>
          <w:highlight w:val="none"/>
        </w:rPr>
      </w:pPr>
      <w:r>
        <w:rPr>
          <w:rFonts w:hint="eastAsia" w:ascii="宋体" w:hAnsi="宋体"/>
          <w:color w:val="auto"/>
          <w:szCs w:val="21"/>
          <w:highlight w:val="none"/>
          <w:u w:val="single"/>
        </w:rPr>
        <w:t>相思湖校区 南宁市罗文大道8号，邮编530007</w:t>
      </w:r>
    </w:p>
    <w:p>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联系方式：</w:t>
      </w:r>
      <w:bookmarkStart w:id="34" w:name="OLE_LINK5"/>
      <w:r>
        <w:rPr>
          <w:rFonts w:hint="eastAsia" w:ascii="宋体" w:hAnsi="宋体"/>
          <w:color w:val="auto"/>
          <w:szCs w:val="21"/>
          <w:highlight w:val="none"/>
          <w:u w:val="single"/>
        </w:rPr>
        <w:t xml:space="preserve">杨朝标； </w:t>
      </w:r>
      <w:bookmarkEnd w:id="34"/>
      <w:r>
        <w:rPr>
          <w:rFonts w:ascii="宋体" w:hAnsi="宋体"/>
          <w:color w:val="auto"/>
          <w:szCs w:val="21"/>
          <w:highlight w:val="none"/>
          <w:u w:val="single"/>
        </w:rPr>
        <w:t>0771-5327987</w:t>
      </w:r>
      <w:r>
        <w:rPr>
          <w:rFonts w:hint="eastAsia" w:ascii="宋体" w:hAnsi="宋体"/>
          <w:color w:val="auto"/>
          <w:szCs w:val="21"/>
          <w:highlight w:val="none"/>
          <w:u w:val="single"/>
        </w:rPr>
        <w:t xml:space="preserve">　　　　　　　　　　　 </w:t>
      </w:r>
      <w:bookmarkStart w:id="35" w:name="_Toc28359009"/>
      <w:bookmarkStart w:id="36" w:name="_Toc28359086"/>
    </w:p>
    <w:bookmarkEnd w:id="35"/>
    <w:bookmarkEnd w:id="36"/>
    <w:p>
      <w:pPr>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2.采购代理机构信息</w:t>
      </w:r>
    </w:p>
    <w:p>
      <w:pPr>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云之龙咨询集团有限公司</w:t>
      </w:r>
      <w:r>
        <w:rPr>
          <w:rFonts w:hint="eastAsia" w:ascii="宋体" w:hAnsi="宋体" w:cs="宋体"/>
          <w:color w:val="auto"/>
          <w:szCs w:val="21"/>
          <w:highlight w:val="none"/>
        </w:rPr>
        <w:t>　　</w:t>
      </w:r>
    </w:p>
    <w:p>
      <w:pPr>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南宁市良庆区云英路15号3号楼云之龙咨询集团大厦6楼/530201　</w:t>
      </w:r>
      <w:r>
        <w:rPr>
          <w:rFonts w:hint="eastAsia" w:ascii="宋体" w:hAnsi="宋体" w:cs="宋体"/>
          <w:color w:val="auto"/>
          <w:szCs w:val="21"/>
          <w:highlight w:val="none"/>
        </w:rPr>
        <w:t>　</w:t>
      </w:r>
    </w:p>
    <w:p>
      <w:pPr>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0771-2611898、2618118、2618199</w:t>
      </w:r>
      <w:r>
        <w:rPr>
          <w:rFonts w:hint="eastAsia" w:ascii="宋体" w:hAnsi="宋体" w:cs="宋体"/>
          <w:color w:val="auto"/>
          <w:szCs w:val="21"/>
          <w:highlight w:val="none"/>
        </w:rPr>
        <w:t>　</w:t>
      </w:r>
    </w:p>
    <w:p>
      <w:pPr>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3.项目联系方式</w:t>
      </w:r>
    </w:p>
    <w:p>
      <w:pPr>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唐冰、杨丽敏</w:t>
      </w:r>
    </w:p>
    <w:p>
      <w:pPr>
        <w:snapToGrid w:val="0"/>
        <w:spacing w:line="400" w:lineRule="exact"/>
        <w:ind w:firstLine="630" w:firstLineChars="300"/>
      </w:pPr>
      <w:r>
        <w:rPr>
          <w:rFonts w:hint="eastAsia" w:ascii="宋体" w:hAnsi="宋体" w:cs="宋体"/>
          <w:color w:val="auto"/>
          <w:szCs w:val="21"/>
          <w:highlight w:val="none"/>
        </w:rPr>
        <w:t>电　话：　</w:t>
      </w:r>
      <w:r>
        <w:rPr>
          <w:rFonts w:hint="eastAsia" w:ascii="宋体" w:hAnsi="宋体" w:cs="宋体"/>
          <w:color w:val="auto"/>
          <w:szCs w:val="21"/>
          <w:highlight w:val="none"/>
          <w:u w:val="single"/>
        </w:rPr>
        <w:t>0771-2611898、2618118、2618199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36ADA"/>
    <w:rsid w:val="3DA3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4">
    <w:name w:val="Body Text"/>
    <w:basedOn w:val="1"/>
    <w:qFormat/>
    <w:uiPriority w:val="99"/>
    <w:pPr>
      <w:spacing w:line="380" w:lineRule="exact"/>
    </w:pPr>
    <w:rPr>
      <w:kern w:val="0"/>
      <w:sz w:val="24"/>
    </w:rPr>
  </w:style>
  <w:style w:type="character" w:styleId="7">
    <w:name w:val="annotation reference"/>
    <w:unhideWhenUsed/>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2024-07-22T04:50:00Z</dcterms:created>
  <dc:creator>Mike</dc:creator>
  <cp:lastModifiedBy>Mike</cp:lastModifiedBy>
  <dcterms:modified xsi:type="dcterms:W3CDTF">2024-07-22T04:51:29Z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