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DE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36"/>
          <w:szCs w:val="36"/>
          <w:highlight w:val="none"/>
          <w:lang w:val="en-US" w:eastAsia="zh-CN"/>
        </w:rPr>
      </w:pPr>
      <w:r>
        <w:rPr>
          <w:rFonts w:hint="eastAsia" w:asciiTheme="majorEastAsia" w:hAnsiTheme="majorEastAsia" w:eastAsiaTheme="majorEastAsia" w:cstheme="majorEastAsia"/>
          <w:b/>
          <w:bCs/>
          <w:sz w:val="36"/>
          <w:szCs w:val="36"/>
          <w:highlight w:val="none"/>
        </w:rPr>
        <w:t>广西艺术学院2025-2026年网络和数据中</w:t>
      </w:r>
      <w:bookmarkStart w:id="0" w:name="_GoBack"/>
      <w:bookmarkEnd w:id="0"/>
      <w:r>
        <w:rPr>
          <w:rFonts w:hint="eastAsia" w:asciiTheme="majorEastAsia" w:hAnsiTheme="majorEastAsia" w:eastAsiaTheme="majorEastAsia" w:cstheme="majorEastAsia"/>
          <w:b/>
          <w:bCs/>
          <w:sz w:val="36"/>
          <w:szCs w:val="36"/>
          <w:highlight w:val="none"/>
        </w:rPr>
        <w:t>心机房空调、UPS不间断电源维修和维保服务</w:t>
      </w:r>
      <w:r>
        <w:rPr>
          <w:rFonts w:hint="eastAsia" w:asciiTheme="majorEastAsia" w:hAnsiTheme="majorEastAsia" w:eastAsiaTheme="majorEastAsia" w:cstheme="majorEastAsia"/>
          <w:b/>
          <w:bCs/>
          <w:sz w:val="36"/>
          <w:szCs w:val="36"/>
          <w:highlight w:val="none"/>
          <w:lang w:val="en-US" w:eastAsia="zh-CN"/>
        </w:rPr>
        <w:t>采购文件</w:t>
      </w:r>
    </w:p>
    <w:p w14:paraId="0D387C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highlight w:val="none"/>
          <w:lang w:val="en-US" w:eastAsia="zh-CN"/>
        </w:rPr>
      </w:pPr>
    </w:p>
    <w:p w14:paraId="3BE4139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一、项目概况</w:t>
      </w:r>
    </w:p>
    <w:p w14:paraId="2904F7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（一）项目名称：广西艺术学院2025-2026年网络和数据中心机房空调、UPS不间断电源维修和维保服务</w:t>
      </w:r>
    </w:p>
    <w:p w14:paraId="27A08F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（二）项目地点：广西艺术学院南湖校区和相思湖校区</w:t>
      </w:r>
    </w:p>
    <w:p w14:paraId="70333C8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二、项目控制价</w:t>
      </w:r>
    </w:p>
    <w:p w14:paraId="3376C4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本项目所需服务必须按采购人需求提供，控制价为</w:t>
      </w:r>
      <w:r>
        <w:rPr>
          <w:rFonts w:hint="eastAsia" w:asciiTheme="majorEastAsia" w:hAnsiTheme="majorEastAsia" w:eastAsiaTheme="majorEastAsia" w:cstheme="majorEastAsia"/>
          <w:sz w:val="24"/>
          <w:szCs w:val="24"/>
          <w:highlight w:val="none"/>
          <w:lang w:val="en-US" w:eastAsia="zh-CN"/>
        </w:rPr>
        <w:t>143100元</w:t>
      </w:r>
      <w:r>
        <w:rPr>
          <w:rFonts w:hint="eastAsia" w:asciiTheme="majorEastAsia" w:hAnsiTheme="majorEastAsia" w:eastAsiaTheme="majorEastAsia" w:cstheme="majorEastAsia"/>
          <w:sz w:val="24"/>
          <w:szCs w:val="24"/>
          <w:highlight w:val="none"/>
          <w:lang w:val="en-US" w:eastAsia="zh-CN"/>
        </w:rPr>
        <w:t>。超过控制价的报价视为无效投标。</w:t>
      </w:r>
    </w:p>
    <w:p w14:paraId="06F909F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三、服务内容和要求</w:t>
      </w:r>
    </w:p>
    <w:p w14:paraId="6D3463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见附件：采购需求。</w:t>
      </w:r>
    </w:p>
    <w:p w14:paraId="43DC10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四、服务期限</w:t>
      </w:r>
    </w:p>
    <w:p w14:paraId="76C7A3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自合同签订之日起一年。</w:t>
      </w:r>
    </w:p>
    <w:p w14:paraId="782FBCA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五、投标人资格要求</w:t>
      </w:r>
    </w:p>
    <w:p w14:paraId="056C73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（一）必须是在中华人民共和国境内注册，具有独立法人，并持有工商行政管理部门核发的法人营业执照。</w:t>
      </w:r>
    </w:p>
    <w:p w14:paraId="781D27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（二）未被列入失信被执行人名单、重大税收违法案件当事人名单、政府采购严重违法失信行为记录名单，信用信息以最新的</w:t>
      </w:r>
      <w:r>
        <w:rPr>
          <w:rFonts w:hint="eastAsia" w:asciiTheme="majorEastAsia" w:hAnsiTheme="majorEastAsia" w:eastAsiaTheme="majorEastAsia" w:cstheme="majorEastAsia"/>
          <w:sz w:val="24"/>
          <w:szCs w:val="24"/>
          <w:highlight w:val="none"/>
          <w:u w:val="single"/>
          <w:lang w:val="en-US" w:eastAsia="zh-CN"/>
        </w:rPr>
        <w:t>信用中国网</w:t>
      </w:r>
      <w:r>
        <w:rPr>
          <w:rFonts w:hint="eastAsia" w:asciiTheme="majorEastAsia" w:hAnsiTheme="majorEastAsia" w:eastAsiaTheme="majorEastAsia" w:cstheme="majorEastAsia"/>
          <w:sz w:val="24"/>
          <w:szCs w:val="24"/>
          <w:highlight w:val="none"/>
          <w:lang w:val="en-US" w:eastAsia="zh-CN"/>
        </w:rPr>
        <w:t>和</w:t>
      </w:r>
      <w:r>
        <w:rPr>
          <w:rFonts w:hint="eastAsia" w:asciiTheme="majorEastAsia" w:hAnsiTheme="majorEastAsia" w:eastAsiaTheme="majorEastAsia" w:cstheme="majorEastAsia"/>
          <w:sz w:val="24"/>
          <w:szCs w:val="24"/>
          <w:highlight w:val="none"/>
          <w:u w:val="single"/>
          <w:lang w:val="en-US" w:eastAsia="zh-CN"/>
        </w:rPr>
        <w:t>中国政府采购网</w:t>
      </w:r>
      <w:r>
        <w:rPr>
          <w:rFonts w:hint="eastAsia" w:asciiTheme="majorEastAsia" w:hAnsiTheme="majorEastAsia" w:eastAsiaTheme="majorEastAsia" w:cstheme="majorEastAsia"/>
          <w:sz w:val="24"/>
          <w:szCs w:val="24"/>
          <w:highlight w:val="none"/>
          <w:lang w:val="en-US" w:eastAsia="zh-CN"/>
        </w:rPr>
        <w:t>公布为准，请提供最新的信用中国网站和中国政府采购网的截图证明信息。</w:t>
      </w:r>
    </w:p>
    <w:p w14:paraId="4943972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“信用中国”网站查询方法：</w:t>
      </w:r>
      <w:r>
        <w:rPr>
          <w:rFonts w:hint="eastAsia" w:asciiTheme="majorEastAsia" w:hAnsiTheme="majorEastAsia" w:eastAsiaTheme="majorEastAsia" w:cstheme="majorEastAsia"/>
          <w:sz w:val="24"/>
          <w:szCs w:val="24"/>
          <w:highlight w:val="none"/>
          <w:lang w:val="en-US" w:eastAsia="zh-CN"/>
        </w:rPr>
        <w:t>投标人在本项目投标截止时间前10日内,进入投标人基本信息页面，点击“下载信用报告”后点击“下载”。</w:t>
      </w:r>
    </w:p>
    <w:p w14:paraId="2ACFA4D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“中国政府采购网”的查询方法：</w:t>
      </w:r>
      <w:r>
        <w:rPr>
          <w:rFonts w:hint="eastAsia" w:asciiTheme="majorEastAsia" w:hAnsiTheme="majorEastAsia" w:eastAsiaTheme="majorEastAsia" w:cstheme="majorEastAsia"/>
          <w:sz w:val="24"/>
          <w:szCs w:val="24"/>
          <w:highlight w:val="none"/>
          <w:lang w:val="en-US" w:eastAsia="zh-CN"/>
        </w:rPr>
        <w:t>点击“政府采购严重违法失信行为记录名单”进行查询。页面中的处罚日期不设置起始时间，只能设置截止时间，截止时间为本项目投标截止时间前10日至投标截止时间中任意一天。</w:t>
      </w:r>
    </w:p>
    <w:p w14:paraId="1AF5F81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10BC4C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（三）单位负责人为同一人或者存在直接控股、管理关系的不同供应商，不得参加同一合同项下的采购活动。本项目不接受联合体。（投标时提供附件2）</w:t>
      </w:r>
    </w:p>
    <w:p w14:paraId="406F1DE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六、投标要求</w:t>
      </w:r>
    </w:p>
    <w:p w14:paraId="4E8C6A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（一）提供法人授权委托书（格式自拟）、有效的营业执照复印件（加盖单位公章）、被授权人身份证（复印件）及按第五大点资格要求列明的证明材料。</w:t>
      </w:r>
    </w:p>
    <w:p w14:paraId="583F69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响应文件内容包括技术参数响应表（技术参数响应表必须对所有采购需求内容进行逐一响应。本项目要求所有投标人必须完全满足采购需求中的所有需求项，不满足采购需求的视为无效投标。）、售后服务方案、拟投入本项目技术人员情况一览表（含截止投标前半年内任意一个月社保证明或劳动协议复印件）、公司相关资质（如有）等相关证明文件，如未按要求提供响应文件，则视为无效报价</w:t>
      </w:r>
      <w:r>
        <w:rPr>
          <w:rFonts w:hint="eastAsia" w:ascii="宋体" w:hAnsi="宋体" w:eastAsia="宋体" w:cs="宋体"/>
          <w:sz w:val="24"/>
          <w:szCs w:val="24"/>
          <w:highlight w:val="none"/>
          <w:lang w:val="en-US" w:eastAsia="zh-CN"/>
        </w:rPr>
        <w:t>。</w:t>
      </w:r>
    </w:p>
    <w:p w14:paraId="1AD73B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sz w:val="24"/>
          <w:szCs w:val="24"/>
          <w:highlight w:val="none"/>
          <w:lang w:val="en-US" w:eastAsia="zh-CN"/>
        </w:rPr>
        <w:t>（三</w:t>
      </w:r>
      <w:r>
        <w:rPr>
          <w:rFonts w:hint="eastAsia" w:asciiTheme="majorEastAsia" w:hAnsiTheme="majorEastAsia" w:eastAsiaTheme="majorEastAsia" w:cstheme="majorEastAsia"/>
          <w:sz w:val="24"/>
          <w:szCs w:val="24"/>
          <w:highlight w:val="none"/>
          <w:lang w:val="en-US" w:eastAsia="zh-CN"/>
        </w:rPr>
        <w:t>）报价单。</w:t>
      </w:r>
    </w:p>
    <w:p w14:paraId="4DCD1E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（四）采购需求里要求提供的其他证明材料。</w:t>
      </w:r>
    </w:p>
    <w:p w14:paraId="43B54BF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注：所有投标材料必须一正一副，且须加盖公章后密封提供。</w:t>
      </w:r>
    </w:p>
    <w:p w14:paraId="60497CC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七、中标方式</w:t>
      </w:r>
    </w:p>
    <w:p w14:paraId="05CD52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根据投标人的投标材料，在满足投标资格和采购需求的基础上，采取低价中标方式选定该项目中标单位，若价格相同，则采取抽签方式确定中标单位。</w:t>
      </w:r>
    </w:p>
    <w:p w14:paraId="17A518E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八、投标截止时间和地点</w:t>
      </w:r>
    </w:p>
    <w:p w14:paraId="6792A4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（一）投标时间</w:t>
      </w:r>
    </w:p>
    <w:p w14:paraId="45A066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凡愿意且符合条件投标人，请于2025年X月X日上午9点至11点之间，将投标文件送达广西艺术学院财务资产处，其他时间不接收报名材料。</w:t>
      </w:r>
    </w:p>
    <w:p w14:paraId="089A653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（二）投标地点</w:t>
      </w:r>
    </w:p>
    <w:p w14:paraId="518B1C3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南宁市教育路7号广西艺术学院雕塑办公楼107室财务资产处采购管理科。</w:t>
      </w:r>
    </w:p>
    <w:p w14:paraId="68E3DE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联系人：高</w:t>
      </w:r>
      <w:r>
        <w:rPr>
          <w:rFonts w:hint="eastAsia" w:asciiTheme="majorEastAsia" w:hAnsiTheme="majorEastAsia" w:eastAsiaTheme="majorEastAsia" w:cstheme="majorEastAsia"/>
          <w:sz w:val="24"/>
          <w:szCs w:val="24"/>
          <w:highlight w:val="none"/>
          <w:lang w:val="en-US" w:eastAsia="zh-CN"/>
        </w:rPr>
        <w:t>老师、朱</w:t>
      </w:r>
      <w:r>
        <w:rPr>
          <w:rFonts w:hint="eastAsia" w:asciiTheme="majorEastAsia" w:hAnsiTheme="majorEastAsia" w:eastAsiaTheme="majorEastAsia" w:cstheme="majorEastAsia"/>
          <w:sz w:val="24"/>
          <w:szCs w:val="24"/>
          <w:highlight w:val="none"/>
          <w:lang w:val="en-US" w:eastAsia="zh-CN"/>
        </w:rPr>
        <w:t>老师、李老师，联系电话：0771-5327987。</w:t>
      </w:r>
    </w:p>
    <w:p w14:paraId="353C757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九、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3866BEFC">
      <w:pPr>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br w:type="page"/>
      </w:r>
    </w:p>
    <w:p w14:paraId="7EB5C9A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heme="majorEastAsia" w:hAnsiTheme="majorEastAsia" w:eastAsiaTheme="majorEastAsia" w:cstheme="majorEastAsia"/>
          <w:b/>
          <w:bCs/>
          <w:sz w:val="24"/>
          <w:szCs w:val="24"/>
          <w:highlight w:val="none"/>
          <w:lang w:val="en-US"/>
        </w:rPr>
      </w:pPr>
      <w:r>
        <w:rPr>
          <w:rFonts w:hint="eastAsia" w:ascii="仿宋" w:hAnsi="仿宋" w:eastAsia="仿宋"/>
          <w:b/>
          <w:sz w:val="22"/>
          <w:szCs w:val="22"/>
          <w:highlight w:val="none"/>
          <w:lang w:val="en-US" w:eastAsia="zh-CN"/>
        </w:rPr>
        <w:t>附件1</w:t>
      </w:r>
    </w:p>
    <w:p w14:paraId="7645FDCA">
      <w:pPr>
        <w:jc w:val="cente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广西艺术学院数据中心机房UPS、精密空调维保及维修采购需求</w:t>
      </w:r>
    </w:p>
    <w:p w14:paraId="76262764">
      <w:pPr>
        <w:rPr>
          <w:rFonts w:hint="eastAsia" w:asciiTheme="majorEastAsia" w:hAnsiTheme="majorEastAsia" w:eastAsiaTheme="majorEastAsia" w:cstheme="majorEastAsia"/>
          <w:highlight w:val="none"/>
        </w:rPr>
      </w:pPr>
    </w:p>
    <w:tbl>
      <w:tblPr>
        <w:tblStyle w:val="7"/>
        <w:tblW w:w="5800"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37"/>
        <w:gridCol w:w="668"/>
        <w:gridCol w:w="777"/>
        <w:gridCol w:w="5552"/>
        <w:gridCol w:w="779"/>
        <w:gridCol w:w="520"/>
        <w:gridCol w:w="520"/>
      </w:tblGrid>
      <w:tr w14:paraId="40A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8" w:type="pct"/>
            <w:shd w:val="clear" w:color="auto" w:fill="auto"/>
            <w:vAlign w:val="center"/>
          </w:tcPr>
          <w:p w14:paraId="30C20EA8">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序号</w:t>
            </w:r>
          </w:p>
        </w:tc>
        <w:tc>
          <w:tcPr>
            <w:tcW w:w="372" w:type="pct"/>
            <w:shd w:val="clear" w:color="auto" w:fill="auto"/>
            <w:vAlign w:val="center"/>
          </w:tcPr>
          <w:p w14:paraId="1FB90917">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产品名称</w:t>
            </w:r>
          </w:p>
        </w:tc>
        <w:tc>
          <w:tcPr>
            <w:tcW w:w="337" w:type="pct"/>
            <w:shd w:val="clear" w:color="auto" w:fill="auto"/>
            <w:vAlign w:val="center"/>
          </w:tcPr>
          <w:p w14:paraId="189E8AD4">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品牌</w:t>
            </w:r>
          </w:p>
        </w:tc>
        <w:tc>
          <w:tcPr>
            <w:tcW w:w="392" w:type="pct"/>
            <w:shd w:val="clear" w:color="auto" w:fill="auto"/>
            <w:vAlign w:val="center"/>
          </w:tcPr>
          <w:p w14:paraId="1540A7D5">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原产品型号</w:t>
            </w:r>
          </w:p>
        </w:tc>
        <w:tc>
          <w:tcPr>
            <w:tcW w:w="2808" w:type="pct"/>
            <w:shd w:val="clear" w:color="auto" w:fill="auto"/>
            <w:vAlign w:val="center"/>
          </w:tcPr>
          <w:p w14:paraId="6C734E6C">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服务内容描述</w:t>
            </w:r>
          </w:p>
        </w:tc>
        <w:tc>
          <w:tcPr>
            <w:tcW w:w="393" w:type="pct"/>
            <w:shd w:val="clear" w:color="auto" w:fill="auto"/>
            <w:vAlign w:val="center"/>
          </w:tcPr>
          <w:p w14:paraId="1E948058">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单位</w:t>
            </w:r>
          </w:p>
        </w:tc>
        <w:tc>
          <w:tcPr>
            <w:tcW w:w="262" w:type="pct"/>
            <w:shd w:val="clear" w:color="auto" w:fill="auto"/>
            <w:vAlign w:val="center"/>
          </w:tcPr>
          <w:p w14:paraId="420C743B">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数量</w:t>
            </w:r>
          </w:p>
        </w:tc>
        <w:tc>
          <w:tcPr>
            <w:tcW w:w="262" w:type="pct"/>
            <w:shd w:val="clear" w:color="auto" w:fill="auto"/>
            <w:vAlign w:val="center"/>
          </w:tcPr>
          <w:p w14:paraId="72D3C11D">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备注</w:t>
            </w:r>
          </w:p>
        </w:tc>
      </w:tr>
      <w:tr w14:paraId="2C73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8"/>
            <w:shd w:val="clear" w:color="auto" w:fill="auto"/>
            <w:vAlign w:val="center"/>
          </w:tcPr>
          <w:p w14:paraId="7FD86A51">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南湖校区数据中心机房UPS、精密空调维保部分</w:t>
            </w:r>
          </w:p>
        </w:tc>
      </w:tr>
      <w:tr w14:paraId="23E1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trPr>
        <w:tc>
          <w:tcPr>
            <w:tcW w:w="168" w:type="pct"/>
            <w:shd w:val="clear" w:color="auto" w:fill="auto"/>
            <w:vAlign w:val="center"/>
          </w:tcPr>
          <w:p w14:paraId="6D18B27A">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372" w:type="pct"/>
            <w:shd w:val="clear" w:color="auto" w:fill="auto"/>
            <w:vAlign w:val="center"/>
          </w:tcPr>
          <w:p w14:paraId="6783D12D">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70KW精密空调</w:t>
            </w:r>
          </w:p>
        </w:tc>
        <w:tc>
          <w:tcPr>
            <w:tcW w:w="337" w:type="pct"/>
            <w:shd w:val="clear" w:color="auto" w:fill="auto"/>
            <w:vAlign w:val="center"/>
          </w:tcPr>
          <w:p w14:paraId="46FCAA0D">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6614947B">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P2070FA&amp;LDF42*2</w:t>
            </w:r>
          </w:p>
        </w:tc>
        <w:tc>
          <w:tcPr>
            <w:tcW w:w="2808" w:type="pct"/>
            <w:shd w:val="clear" w:color="auto" w:fill="auto"/>
            <w:vAlign w:val="center"/>
          </w:tcPr>
          <w:p w14:paraId="3E9111C5">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(3)提供7*24小时故障远程技术支持或现场维修等支持；</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(6)供应商要求：须获得设备原厂家维保授权书及原厂售后服务承诺函。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p>
          <w:p w14:paraId="5E63794C">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xml:space="preserve">(8)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2931446F">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621B1869">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448455ED">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0236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68" w:type="pct"/>
            <w:shd w:val="clear" w:color="auto" w:fill="auto"/>
            <w:vAlign w:val="center"/>
          </w:tcPr>
          <w:p w14:paraId="1374AC26">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372" w:type="pct"/>
            <w:shd w:val="clear" w:color="auto" w:fill="auto"/>
            <w:vAlign w:val="center"/>
          </w:tcPr>
          <w:p w14:paraId="7DFCD703">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90KVA UPS</w:t>
            </w:r>
          </w:p>
        </w:tc>
        <w:tc>
          <w:tcPr>
            <w:tcW w:w="337" w:type="pct"/>
            <w:shd w:val="clear" w:color="auto" w:fill="auto"/>
            <w:vAlign w:val="center"/>
          </w:tcPr>
          <w:p w14:paraId="67D18A8B">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6CBCEB75">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APM-150-90KVA</w:t>
            </w:r>
          </w:p>
        </w:tc>
        <w:tc>
          <w:tcPr>
            <w:tcW w:w="2808" w:type="pct"/>
            <w:shd w:val="clear" w:color="auto" w:fill="auto"/>
            <w:vAlign w:val="center"/>
          </w:tcPr>
          <w:p w14:paraId="26A1D61A">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(1)提供UPS电源电器柜及功率模块的全维护，现场维修，故障涉及的所有器件更换设备常用备件保障（不含蓄电池）；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(2)每次巡检对大功率UPS、蓄电池组及电源输出柜进行一次联动功能测试，保证整体系统的正常切换。</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(3)对大功率UPS设备进行功能测试，通过专业技术测试各供电模块、配件的数据，若设备出现损坏或指标不达标时，在当天通过电话/邮件等方式反馈</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(4)对蓄电池组进行至少一次带载充放电功能测试，在巡检中如发现损坏及时通知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暂停使用或者告知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需重新采购新电池。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提供的《UPS维护保养记录表》，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要求出具一份对所有维保UPS的总体评估报告，包含设备主机和电池的现状，及给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(7)供应商要求：须获得设备原厂家维保授权书及原厂售后服务承诺函。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(8)出现故障10分钟内做出响应，1小时内到达维修现场。一般问题应在6小时内解决，重大问题或其它无法迅速解决的问题应在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(9)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299F5AD2">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616BE6AE">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037D8A7D">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3561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8" w:type="pct"/>
            <w:shd w:val="clear" w:color="auto" w:fill="auto"/>
            <w:vAlign w:val="center"/>
          </w:tcPr>
          <w:p w14:paraId="038EF890">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w:t>
            </w:r>
          </w:p>
        </w:tc>
        <w:tc>
          <w:tcPr>
            <w:tcW w:w="372" w:type="pct"/>
            <w:shd w:val="clear" w:color="auto" w:fill="auto"/>
            <w:vAlign w:val="center"/>
          </w:tcPr>
          <w:p w14:paraId="1EE254A1">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12.5KW精密空调</w:t>
            </w:r>
          </w:p>
        </w:tc>
        <w:tc>
          <w:tcPr>
            <w:tcW w:w="337" w:type="pct"/>
            <w:shd w:val="clear" w:color="auto" w:fill="auto"/>
            <w:vAlign w:val="center"/>
          </w:tcPr>
          <w:p w14:paraId="6BD56451">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74765F16">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DME12</w:t>
            </w:r>
          </w:p>
        </w:tc>
        <w:tc>
          <w:tcPr>
            <w:tcW w:w="2808" w:type="pct"/>
            <w:shd w:val="clear" w:color="auto" w:fill="auto"/>
            <w:vAlign w:val="center"/>
          </w:tcPr>
          <w:p w14:paraId="7C2AC78C">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(3)提供7*24小时故障远程技术支持或现场维修等支持；</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(6)供应商要求：须获得设备原厂家维保授权书及原厂售后服务承诺函。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036501B">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0EABD43C">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70F9ACA7">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5825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8" w:type="pct"/>
            <w:shd w:val="clear" w:color="auto" w:fill="auto"/>
            <w:vAlign w:val="center"/>
          </w:tcPr>
          <w:p w14:paraId="7850FD7B">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w:t>
            </w:r>
          </w:p>
        </w:tc>
        <w:tc>
          <w:tcPr>
            <w:tcW w:w="372" w:type="pct"/>
            <w:shd w:val="clear" w:color="auto" w:fill="auto"/>
            <w:vAlign w:val="center"/>
          </w:tcPr>
          <w:p w14:paraId="56194E85">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7.5KW精密空调</w:t>
            </w:r>
          </w:p>
        </w:tc>
        <w:tc>
          <w:tcPr>
            <w:tcW w:w="337" w:type="pct"/>
            <w:shd w:val="clear" w:color="auto" w:fill="auto"/>
            <w:vAlign w:val="center"/>
          </w:tcPr>
          <w:p w14:paraId="23E62174">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4E9E3083">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DME07</w:t>
            </w:r>
          </w:p>
        </w:tc>
        <w:tc>
          <w:tcPr>
            <w:tcW w:w="2808" w:type="pct"/>
            <w:shd w:val="clear" w:color="auto" w:fill="auto"/>
            <w:vAlign w:val="center"/>
          </w:tcPr>
          <w:p w14:paraId="25B7F579">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(3)提供7*24小时故障远程技术支持或现场维修等支持；</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(6)供应商要求：须获得设备原厂家维保授权书及原厂售后服务承诺函。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D50DB4E">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41FA0997">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262" w:type="pct"/>
            <w:shd w:val="clear" w:color="auto" w:fill="auto"/>
            <w:vAlign w:val="center"/>
          </w:tcPr>
          <w:p w14:paraId="304EBFEC">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2F14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00" w:type="pct"/>
            <w:gridSpan w:val="8"/>
            <w:shd w:val="clear" w:color="auto" w:fill="auto"/>
            <w:vAlign w:val="center"/>
          </w:tcPr>
          <w:p w14:paraId="31D0B74E">
            <w:pPr>
              <w:widowControl/>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相思湖校区数据中心机房UPS、精密空调维保及维修部分</w:t>
            </w:r>
          </w:p>
        </w:tc>
      </w:tr>
      <w:tr w14:paraId="29EF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68" w:type="pct"/>
            <w:shd w:val="clear" w:color="auto" w:fill="auto"/>
            <w:vAlign w:val="center"/>
          </w:tcPr>
          <w:p w14:paraId="52E1F320">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372" w:type="pct"/>
            <w:shd w:val="clear" w:color="auto" w:fill="auto"/>
            <w:vAlign w:val="center"/>
          </w:tcPr>
          <w:p w14:paraId="4138ED83">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12.5KW精密空调</w:t>
            </w:r>
          </w:p>
        </w:tc>
        <w:tc>
          <w:tcPr>
            <w:tcW w:w="337" w:type="pct"/>
            <w:shd w:val="clear" w:color="auto" w:fill="auto"/>
            <w:vAlign w:val="center"/>
          </w:tcPr>
          <w:p w14:paraId="3FFCA118">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59BCDBC7">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DME12MHP1</w:t>
            </w:r>
          </w:p>
        </w:tc>
        <w:tc>
          <w:tcPr>
            <w:tcW w:w="2808" w:type="pct"/>
            <w:shd w:val="clear" w:color="auto" w:fill="auto"/>
            <w:vAlign w:val="center"/>
          </w:tcPr>
          <w:p w14:paraId="3D4834C3">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(3)提供7*24小时故障远程技术支持或现场维修等支持；</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(6)供应商要求：须获得设备原厂家维保授权书及原厂售后服务承诺函。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61D0405">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722FEBDC">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33785208">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0402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168" w:type="pct"/>
            <w:shd w:val="clear" w:color="auto" w:fill="auto"/>
            <w:vAlign w:val="center"/>
          </w:tcPr>
          <w:p w14:paraId="6DD2544D">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372" w:type="pct"/>
            <w:shd w:val="clear" w:color="auto" w:fill="auto"/>
            <w:vAlign w:val="center"/>
          </w:tcPr>
          <w:p w14:paraId="38F90B54">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45KW精密空调</w:t>
            </w:r>
          </w:p>
        </w:tc>
        <w:tc>
          <w:tcPr>
            <w:tcW w:w="337" w:type="pct"/>
            <w:shd w:val="clear" w:color="auto" w:fill="auto"/>
            <w:vAlign w:val="center"/>
          </w:tcPr>
          <w:p w14:paraId="45346B02">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06FA0F3C">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P1050DA13JHL</w:t>
            </w:r>
          </w:p>
        </w:tc>
        <w:tc>
          <w:tcPr>
            <w:tcW w:w="2808" w:type="pct"/>
            <w:shd w:val="clear" w:color="auto" w:fill="auto"/>
            <w:vAlign w:val="center"/>
          </w:tcPr>
          <w:p w14:paraId="42272CAA">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(3)提供7*24小时故障远程技术支持或现场维修等支持；</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(6)供应商要求：须获得设备原厂家维保授权书及原厂售后服务承诺函。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73E9549D">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59600996">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w:t>
            </w:r>
          </w:p>
        </w:tc>
        <w:tc>
          <w:tcPr>
            <w:tcW w:w="262" w:type="pct"/>
            <w:shd w:val="clear" w:color="auto" w:fill="auto"/>
            <w:vAlign w:val="center"/>
          </w:tcPr>
          <w:p w14:paraId="545CB7C0">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1D7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0" w:hRule="atLeast"/>
        </w:trPr>
        <w:tc>
          <w:tcPr>
            <w:tcW w:w="168" w:type="pct"/>
            <w:shd w:val="clear" w:color="auto" w:fill="auto"/>
            <w:vAlign w:val="center"/>
          </w:tcPr>
          <w:p w14:paraId="62D3A138">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w:t>
            </w:r>
          </w:p>
        </w:tc>
        <w:tc>
          <w:tcPr>
            <w:tcW w:w="372" w:type="pct"/>
            <w:shd w:val="clear" w:color="auto" w:fill="auto"/>
            <w:vAlign w:val="center"/>
          </w:tcPr>
          <w:p w14:paraId="6BDCD495">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60KVA</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UPS</w:t>
            </w:r>
          </w:p>
        </w:tc>
        <w:tc>
          <w:tcPr>
            <w:tcW w:w="337" w:type="pct"/>
            <w:shd w:val="clear" w:color="auto" w:fill="auto"/>
            <w:vAlign w:val="center"/>
          </w:tcPr>
          <w:p w14:paraId="11D43FE8">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16A470CA">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APM150</w:t>
            </w:r>
          </w:p>
        </w:tc>
        <w:tc>
          <w:tcPr>
            <w:tcW w:w="2808" w:type="pct"/>
            <w:shd w:val="clear" w:color="auto" w:fill="auto"/>
            <w:vAlign w:val="center"/>
          </w:tcPr>
          <w:p w14:paraId="3D87B021">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(1)提供UPS电源电器柜及功率模块的全维护，现场维修，故障涉及的所有器件更换设备常用备件保障（不含蓄电池）；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(2)每次巡检对大功率UPS、蓄电池组及电源输出柜进行一次联动功能测试，保证整体系统的正常切换。</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(3)对大功率UPS设备进行功能测试，通过专业技术测试各供电模块、配件的数据，若设备出现损坏或指标不达标时，在当天通过电话/邮件等方式反馈</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(4)对蓄电池组进行至少一次带载充放电功能测试，在巡检中如发现损坏及时通知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暂停使用或者告知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需重新采购新电池。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提供的《UPS维护保养记录表》，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要求出具一份对所有维保UPS的总体评估报告，包含设备主机和电池的现状，及给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(7)供应商要求：须获得设备原厂家维保授权书及原厂售后服务承诺函。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(8)出现故障10分钟内做出响应，1小时内到达维修现场。一般问题应在6小时内解决，重大问题或其它无法迅速解决的问题应在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(9)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97CA50D">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5DD4AD00">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262" w:type="pct"/>
            <w:shd w:val="clear" w:color="auto" w:fill="auto"/>
            <w:vAlign w:val="center"/>
          </w:tcPr>
          <w:p w14:paraId="42FDCB91">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6059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68" w:type="pct"/>
            <w:shd w:val="clear" w:color="auto" w:fill="auto"/>
            <w:vAlign w:val="center"/>
          </w:tcPr>
          <w:p w14:paraId="043C329B">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w:t>
            </w:r>
          </w:p>
        </w:tc>
        <w:tc>
          <w:tcPr>
            <w:tcW w:w="372" w:type="pct"/>
            <w:shd w:val="clear" w:color="auto" w:fill="auto"/>
            <w:vAlign w:val="center"/>
          </w:tcPr>
          <w:p w14:paraId="146E14B7">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UPS功率模块更换</w:t>
            </w:r>
          </w:p>
        </w:tc>
        <w:tc>
          <w:tcPr>
            <w:tcW w:w="337" w:type="pct"/>
            <w:shd w:val="clear" w:color="auto" w:fill="auto"/>
            <w:vAlign w:val="center"/>
          </w:tcPr>
          <w:p w14:paraId="5E1D70FE">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2A84A92D">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APM150</w:t>
            </w:r>
          </w:p>
        </w:tc>
        <w:tc>
          <w:tcPr>
            <w:tcW w:w="2808" w:type="pct"/>
            <w:shd w:val="clear" w:color="auto" w:fill="auto"/>
            <w:vAlign w:val="center"/>
          </w:tcPr>
          <w:p w14:paraId="3E5AE237">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(1)对功率模块的全检查维护，更换机房内目前出现故障的两个UPS主功率模块，确保UPS能正常运行；</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(2)对更换好的功率模块参数重新设定调试，通过专业技术测试各供电模块、配件的数据，对大功率UPS设备进行功能测试；</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(3)对大功率UPS、蓄电池组及电源输出柜进行一次联动功能测试，保证整体系统的正常切换；</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(4)以上项目完成作业后，出具维修维保服务报告；</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(5)要求所有更换维修元器件须为原厂备品备件，提供设备原厂家维保授权书及原厂售后服务承诺函；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(6)维修更换后涉及设备参数系统的兼容及故障代码消除，技术服务工程师须原厂工程师（现场核查）；</w:t>
            </w:r>
          </w:p>
          <w:p w14:paraId="3FA51AAB">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xml:space="preserve">(7)为保障设备日常维护和维修的及时性，投标人需具备备品备件保障能力，投标文件中须提供备件供应保障承诺函，明确储备方式、调配路径及责任主体，确保故障报修后，所需备件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3BFCDEEC">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个</w:t>
            </w:r>
          </w:p>
        </w:tc>
        <w:tc>
          <w:tcPr>
            <w:tcW w:w="262" w:type="pct"/>
            <w:shd w:val="clear" w:color="auto" w:fill="auto"/>
            <w:vAlign w:val="center"/>
          </w:tcPr>
          <w:p w14:paraId="6F00E48A">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262" w:type="pct"/>
            <w:shd w:val="clear" w:color="auto" w:fill="auto"/>
            <w:vAlign w:val="center"/>
          </w:tcPr>
          <w:p w14:paraId="104C760D">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3263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trPr>
        <w:tc>
          <w:tcPr>
            <w:tcW w:w="168" w:type="pct"/>
            <w:shd w:val="clear" w:color="auto" w:fill="auto"/>
            <w:vAlign w:val="center"/>
          </w:tcPr>
          <w:p w14:paraId="65316A32">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5</w:t>
            </w:r>
          </w:p>
        </w:tc>
        <w:tc>
          <w:tcPr>
            <w:tcW w:w="372" w:type="pct"/>
            <w:shd w:val="clear" w:color="auto" w:fill="auto"/>
            <w:vAlign w:val="center"/>
          </w:tcPr>
          <w:p w14:paraId="33C3FFEB">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机房动环系统修复</w:t>
            </w:r>
          </w:p>
        </w:tc>
        <w:tc>
          <w:tcPr>
            <w:tcW w:w="337" w:type="pct"/>
            <w:shd w:val="clear" w:color="auto" w:fill="auto"/>
            <w:vAlign w:val="center"/>
          </w:tcPr>
          <w:p w14:paraId="013DA89A">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3579C156">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RDU-M</w:t>
            </w:r>
          </w:p>
        </w:tc>
        <w:tc>
          <w:tcPr>
            <w:tcW w:w="2808" w:type="pct"/>
            <w:shd w:val="clear" w:color="auto" w:fill="auto"/>
            <w:vAlign w:val="center"/>
          </w:tcPr>
          <w:p w14:paraId="1AFACC39">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(1)对机房原动力环境监控系统及主机的全检查维护，对现有监控系统进行修复，确保动环系统能正常运行，及时掌握设备的运行情况；</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对监控系统中的精密空调、配电柜和多个温湿度传感器与监控系统的通讯失败诊断，维修恢复远程全面监控机房动力设备进行状态，实时侦测在线设备故障，能及时通知相关人员处理，提高供电系统的可靠性和通信设备的安全性；</w:t>
            </w:r>
          </w:p>
          <w:p w14:paraId="22796CB1">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(3)对电池组监控系统及模块的全检查维护，现场维修更换</w:t>
            </w:r>
          </w:p>
          <w:p w14:paraId="274B8ECE">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(4)对模块传感器与监控系统的通讯失败诊断，维修恢复远程全面监控蓄电池组设备监测状态，实时侦测在线设备故障，能及时通知相关人员处理，提高供电系统的可性和通信设备的安全性;</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(5)对监控系统进行一次联动功能测试，保证整体系统的正常控制监测；</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(6)以上项目完成作业后，出具维修维保服务报告；</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(7)要求所有更换维修元器件及系统参数修复须为原厂备品备件，提供设备原厂家维保授权书及原厂售后服务承诺函；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(8)维修更换后涉及设备参数系统的兼容及故障代码消除，技术服务工程师须原厂工程师（现场核查）；</w:t>
            </w:r>
          </w:p>
          <w:p w14:paraId="18B239C6">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xml:space="preserve">(9)为保障设备日常维护和维修的及时性，投标人需具备备品备件保障能力，投标文件中须提供备件供应保障承诺函，明确储备方式、调配路径及责任主体，确保故障报修后，所需备件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085F189B">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项</w:t>
            </w:r>
          </w:p>
        </w:tc>
        <w:tc>
          <w:tcPr>
            <w:tcW w:w="262" w:type="pct"/>
            <w:shd w:val="clear" w:color="auto" w:fill="auto"/>
            <w:vAlign w:val="center"/>
          </w:tcPr>
          <w:p w14:paraId="433FA436">
            <w:pPr>
              <w:widowControl/>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7B8B8467">
            <w:pPr>
              <w:widowControl/>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bl>
    <w:p w14:paraId="2B58EC45">
      <w:pPr>
        <w:spacing w:line="520" w:lineRule="exact"/>
        <w:ind w:left="420" w:leftChars="200"/>
        <w:jc w:val="left"/>
        <w:rPr>
          <w:rFonts w:hint="eastAsia" w:asciiTheme="majorEastAsia" w:hAnsiTheme="majorEastAsia" w:eastAsiaTheme="majorEastAsia" w:cstheme="majorEastAsia"/>
          <w:color w:val="333333"/>
          <w:sz w:val="28"/>
          <w:szCs w:val="28"/>
          <w:highlight w:val="none"/>
          <w:shd w:val="clear" w:color="auto" w:fill="FFFFFF"/>
        </w:rPr>
      </w:pPr>
    </w:p>
    <w:p w14:paraId="0D6CDC0D">
      <w:pPr>
        <w:spacing w:line="520" w:lineRule="exact"/>
        <w:rPr>
          <w:rFonts w:hint="eastAsia" w:asciiTheme="majorEastAsia" w:hAnsiTheme="majorEastAsia" w:eastAsiaTheme="majorEastAsia" w:cstheme="majorEastAsia"/>
          <w:sz w:val="28"/>
          <w:szCs w:val="28"/>
          <w:highlight w:val="none"/>
        </w:rPr>
      </w:pPr>
    </w:p>
    <w:p w14:paraId="40D8327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300EC7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 w:hAnsi="仿宋" w:eastAsia="仿宋"/>
          <w:b/>
          <w:sz w:val="22"/>
          <w:szCs w:val="22"/>
          <w:highlight w:val="none"/>
          <w:lang w:val="en-US" w:eastAsia="zh-CN"/>
        </w:rPr>
      </w:pPr>
      <w:r>
        <w:rPr>
          <w:rFonts w:hint="eastAsia" w:ascii="仿宋" w:hAnsi="仿宋" w:eastAsia="仿宋"/>
          <w:b/>
          <w:sz w:val="22"/>
          <w:szCs w:val="22"/>
          <w:highlight w:val="none"/>
          <w:lang w:val="en-US" w:eastAsia="zh-CN"/>
        </w:rPr>
        <w:t>附件2</w:t>
      </w:r>
    </w:p>
    <w:p w14:paraId="0BE6C427">
      <w:pPr>
        <w:snapToGrid w:val="0"/>
        <w:spacing w:before="50" w:after="156" w:afterLines="50" w:line="360" w:lineRule="auto"/>
        <w:jc w:val="center"/>
        <w:rPr>
          <w:rFonts w:hint="eastAsia" w:ascii="仿宋" w:hAnsi="仿宋" w:eastAsia="仿宋"/>
          <w:b/>
          <w:sz w:val="32"/>
          <w:szCs w:val="32"/>
          <w:highlight w:val="none"/>
        </w:rPr>
      </w:pPr>
      <w:r>
        <w:rPr>
          <w:rFonts w:hint="eastAsia" w:ascii="仿宋" w:hAnsi="仿宋" w:eastAsia="仿宋"/>
          <w:b/>
          <w:sz w:val="32"/>
          <w:szCs w:val="32"/>
          <w:highlight w:val="none"/>
        </w:rPr>
        <w:t>投标人直接控股、管理关系信息表</w:t>
      </w:r>
    </w:p>
    <w:tbl>
      <w:tblPr>
        <w:tblStyle w:val="7"/>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0E77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673" w:type="dxa"/>
            <w:gridSpan w:val="4"/>
            <w:shd w:val="clear" w:color="auto" w:fill="F2DBDB"/>
            <w:vAlign w:val="center"/>
          </w:tcPr>
          <w:p w14:paraId="2EFFD60C">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投标人直接控股股东信息表</w:t>
            </w:r>
          </w:p>
        </w:tc>
        <w:tc>
          <w:tcPr>
            <w:tcW w:w="4536" w:type="dxa"/>
            <w:shd w:val="clear" w:color="auto" w:fill="F2DBDB"/>
            <w:vAlign w:val="center"/>
          </w:tcPr>
          <w:p w14:paraId="27C367F2">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说明</w:t>
            </w:r>
          </w:p>
        </w:tc>
      </w:tr>
      <w:tr w14:paraId="6C63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A058E74">
            <w:pPr>
              <w:spacing w:line="360" w:lineRule="exact"/>
              <w:jc w:val="center"/>
              <w:rPr>
                <w:rFonts w:hint="eastAsia" w:ascii="仿宋" w:hAnsi="仿宋" w:eastAsia="仿宋" w:cs="宋体"/>
                <w:b/>
                <w:bCs/>
                <w:kern w:val="0"/>
                <w:szCs w:val="21"/>
                <w:highlight w:val="none"/>
              </w:rPr>
            </w:pPr>
            <w:r>
              <w:rPr>
                <w:rFonts w:ascii="仿宋" w:hAnsi="仿宋" w:eastAsia="仿宋" w:cs="宋体"/>
                <w:b/>
                <w:bCs/>
                <w:kern w:val="0"/>
                <w:szCs w:val="21"/>
                <w:highlight w:val="none"/>
              </w:rPr>
              <w:t>序号</w:t>
            </w:r>
          </w:p>
        </w:tc>
        <w:tc>
          <w:tcPr>
            <w:tcW w:w="1309" w:type="dxa"/>
            <w:vAlign w:val="center"/>
          </w:tcPr>
          <w:p w14:paraId="6236B2BC">
            <w:pPr>
              <w:spacing w:line="360" w:lineRule="exact"/>
              <w:jc w:val="center"/>
              <w:rPr>
                <w:rFonts w:hint="eastAsia" w:ascii="仿宋" w:hAnsi="仿宋" w:eastAsia="仿宋" w:cs="宋体"/>
                <w:b/>
                <w:bCs/>
                <w:kern w:val="0"/>
                <w:szCs w:val="21"/>
                <w:highlight w:val="none"/>
              </w:rPr>
            </w:pPr>
            <w:r>
              <w:rPr>
                <w:rFonts w:ascii="仿宋" w:hAnsi="仿宋" w:eastAsia="仿宋" w:cs="宋体"/>
                <w:b/>
                <w:bCs/>
                <w:kern w:val="0"/>
                <w:szCs w:val="21"/>
                <w:highlight w:val="none"/>
              </w:rPr>
              <w:t>直接控股股东名称</w:t>
            </w:r>
          </w:p>
        </w:tc>
        <w:tc>
          <w:tcPr>
            <w:tcW w:w="1384" w:type="dxa"/>
            <w:vAlign w:val="center"/>
          </w:tcPr>
          <w:p w14:paraId="6773B1C8">
            <w:pPr>
              <w:spacing w:line="360" w:lineRule="exact"/>
              <w:jc w:val="center"/>
              <w:rPr>
                <w:rFonts w:hint="eastAsia" w:ascii="仿宋" w:hAnsi="仿宋" w:eastAsia="仿宋" w:cs="宋体"/>
                <w:b/>
                <w:bCs/>
                <w:kern w:val="0"/>
                <w:szCs w:val="21"/>
                <w:highlight w:val="none"/>
              </w:rPr>
            </w:pPr>
            <w:r>
              <w:rPr>
                <w:rFonts w:ascii="仿宋" w:hAnsi="仿宋" w:eastAsia="仿宋" w:cs="宋体"/>
                <w:b/>
                <w:bCs/>
                <w:kern w:val="0"/>
                <w:szCs w:val="21"/>
                <w:highlight w:val="none"/>
              </w:rPr>
              <w:t>出资比例</w:t>
            </w:r>
          </w:p>
        </w:tc>
        <w:tc>
          <w:tcPr>
            <w:tcW w:w="4163" w:type="dxa"/>
            <w:vAlign w:val="center"/>
          </w:tcPr>
          <w:p w14:paraId="5C783D8A">
            <w:pPr>
              <w:spacing w:line="360" w:lineRule="exact"/>
              <w:jc w:val="center"/>
              <w:rPr>
                <w:rFonts w:hint="eastAsia" w:ascii="仿宋" w:hAnsi="仿宋" w:eastAsia="仿宋" w:cs="宋体"/>
                <w:b/>
                <w:bCs/>
                <w:kern w:val="0"/>
                <w:szCs w:val="21"/>
                <w:highlight w:val="none"/>
              </w:rPr>
            </w:pPr>
            <w:r>
              <w:rPr>
                <w:rFonts w:ascii="仿宋" w:hAnsi="仿宋" w:eastAsia="仿宋" w:cs="宋体"/>
                <w:b/>
                <w:bCs/>
                <w:kern w:val="0"/>
                <w:szCs w:val="21"/>
                <w:highlight w:val="none"/>
              </w:rPr>
              <w:t>身份证号码或者统一社会信用代码</w:t>
            </w:r>
          </w:p>
        </w:tc>
        <w:tc>
          <w:tcPr>
            <w:tcW w:w="4536" w:type="dxa"/>
            <w:vMerge w:val="restart"/>
            <w:vAlign w:val="center"/>
          </w:tcPr>
          <w:p w14:paraId="0BDDC8F4">
            <w:pPr>
              <w:snapToGrid w:val="0"/>
              <w:jc w:val="left"/>
              <w:rPr>
                <w:rFonts w:hint="eastAsia" w:ascii="仿宋" w:hAnsi="仿宋" w:eastAsia="仿宋"/>
                <w:szCs w:val="21"/>
                <w:highlight w:val="none"/>
              </w:rPr>
            </w:pPr>
            <w:r>
              <w:rPr>
                <w:rFonts w:ascii="仿宋" w:hAnsi="仿宋" w:eastAsia="仿宋"/>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72E8BE">
            <w:pPr>
              <w:snapToGrid w:val="0"/>
              <w:jc w:val="left"/>
              <w:rPr>
                <w:rFonts w:hint="eastAsia" w:ascii="仿宋" w:hAnsi="仿宋" w:eastAsia="仿宋"/>
                <w:szCs w:val="21"/>
                <w:highlight w:val="none"/>
              </w:rPr>
            </w:pPr>
            <w:r>
              <w:rPr>
                <w:rFonts w:ascii="仿宋" w:hAnsi="仿宋" w:eastAsia="仿宋"/>
                <w:szCs w:val="21"/>
                <w:highlight w:val="none"/>
              </w:rPr>
              <w:t>2.本表所指的控股关系仅限于直接控股关系，不包括间接的控股关系。公司实际控制人与公司之间的关系不属于本表所指的直接控股关系。</w:t>
            </w:r>
          </w:p>
          <w:p w14:paraId="1157B265">
            <w:pPr>
              <w:snapToGrid w:val="0"/>
              <w:jc w:val="left"/>
              <w:rPr>
                <w:rFonts w:hint="eastAsia" w:ascii="仿宋" w:hAnsi="仿宋" w:eastAsia="仿宋" w:cs="宋体"/>
                <w:b/>
                <w:bCs/>
                <w:kern w:val="0"/>
                <w:szCs w:val="21"/>
                <w:highlight w:val="none"/>
              </w:rPr>
            </w:pPr>
            <w:r>
              <w:rPr>
                <w:rFonts w:ascii="仿宋" w:hAnsi="仿宋" w:eastAsia="仿宋"/>
                <w:szCs w:val="21"/>
                <w:highlight w:val="none"/>
              </w:rPr>
              <w:t>3.供应商不存在直接控股股东的，则填“无”。</w:t>
            </w:r>
          </w:p>
        </w:tc>
      </w:tr>
      <w:tr w14:paraId="3A45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3F332F10">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1</w:t>
            </w:r>
          </w:p>
        </w:tc>
        <w:tc>
          <w:tcPr>
            <w:tcW w:w="1309" w:type="dxa"/>
          </w:tcPr>
          <w:p w14:paraId="29A149A9">
            <w:pPr>
              <w:snapToGrid w:val="0"/>
              <w:spacing w:before="156" w:beforeLines="50" w:after="50"/>
              <w:jc w:val="left"/>
              <w:rPr>
                <w:rFonts w:hint="eastAsia" w:ascii="仿宋" w:hAnsi="仿宋" w:eastAsia="仿宋"/>
                <w:b/>
                <w:szCs w:val="21"/>
                <w:highlight w:val="none"/>
              </w:rPr>
            </w:pPr>
          </w:p>
        </w:tc>
        <w:tc>
          <w:tcPr>
            <w:tcW w:w="1384" w:type="dxa"/>
          </w:tcPr>
          <w:p w14:paraId="2B93B1DC">
            <w:pPr>
              <w:snapToGrid w:val="0"/>
              <w:spacing w:before="156" w:beforeLines="50" w:after="50"/>
              <w:jc w:val="left"/>
              <w:rPr>
                <w:rFonts w:hint="eastAsia" w:ascii="仿宋" w:hAnsi="仿宋" w:eastAsia="仿宋"/>
                <w:b/>
                <w:szCs w:val="21"/>
                <w:highlight w:val="none"/>
              </w:rPr>
            </w:pPr>
          </w:p>
        </w:tc>
        <w:tc>
          <w:tcPr>
            <w:tcW w:w="4163" w:type="dxa"/>
          </w:tcPr>
          <w:p w14:paraId="5C1B1A1D">
            <w:pPr>
              <w:snapToGrid w:val="0"/>
              <w:spacing w:before="156" w:beforeLines="50" w:after="50"/>
              <w:jc w:val="left"/>
              <w:rPr>
                <w:rFonts w:hint="eastAsia" w:ascii="仿宋" w:hAnsi="仿宋" w:eastAsia="仿宋"/>
                <w:b/>
                <w:szCs w:val="21"/>
                <w:highlight w:val="none"/>
              </w:rPr>
            </w:pPr>
          </w:p>
        </w:tc>
        <w:tc>
          <w:tcPr>
            <w:tcW w:w="4536" w:type="dxa"/>
            <w:vMerge w:val="continue"/>
          </w:tcPr>
          <w:p w14:paraId="16C5B888">
            <w:pPr>
              <w:snapToGrid w:val="0"/>
              <w:jc w:val="left"/>
              <w:rPr>
                <w:rFonts w:hint="eastAsia" w:ascii="仿宋" w:hAnsi="仿宋" w:eastAsia="仿宋"/>
                <w:szCs w:val="21"/>
                <w:highlight w:val="none"/>
              </w:rPr>
            </w:pPr>
          </w:p>
        </w:tc>
      </w:tr>
      <w:tr w14:paraId="255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4FAC0D7">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2</w:t>
            </w:r>
          </w:p>
        </w:tc>
        <w:tc>
          <w:tcPr>
            <w:tcW w:w="1309" w:type="dxa"/>
          </w:tcPr>
          <w:p w14:paraId="22C4B805">
            <w:pPr>
              <w:snapToGrid w:val="0"/>
              <w:spacing w:before="156" w:beforeLines="50" w:after="50"/>
              <w:jc w:val="left"/>
              <w:rPr>
                <w:rFonts w:hint="eastAsia" w:ascii="仿宋" w:hAnsi="仿宋" w:eastAsia="仿宋"/>
                <w:b/>
                <w:szCs w:val="21"/>
                <w:highlight w:val="none"/>
              </w:rPr>
            </w:pPr>
          </w:p>
        </w:tc>
        <w:tc>
          <w:tcPr>
            <w:tcW w:w="1384" w:type="dxa"/>
          </w:tcPr>
          <w:p w14:paraId="6FD46F54">
            <w:pPr>
              <w:snapToGrid w:val="0"/>
              <w:spacing w:before="156" w:beforeLines="50" w:after="50"/>
              <w:jc w:val="left"/>
              <w:rPr>
                <w:rFonts w:hint="eastAsia" w:ascii="仿宋" w:hAnsi="仿宋" w:eastAsia="仿宋"/>
                <w:b/>
                <w:szCs w:val="21"/>
                <w:highlight w:val="none"/>
              </w:rPr>
            </w:pPr>
          </w:p>
        </w:tc>
        <w:tc>
          <w:tcPr>
            <w:tcW w:w="4163" w:type="dxa"/>
          </w:tcPr>
          <w:p w14:paraId="43BFEFB6">
            <w:pPr>
              <w:snapToGrid w:val="0"/>
              <w:spacing w:before="156" w:beforeLines="50" w:after="50"/>
              <w:jc w:val="left"/>
              <w:rPr>
                <w:rFonts w:hint="eastAsia" w:ascii="仿宋" w:hAnsi="仿宋" w:eastAsia="仿宋"/>
                <w:b/>
                <w:szCs w:val="21"/>
                <w:highlight w:val="none"/>
              </w:rPr>
            </w:pPr>
          </w:p>
        </w:tc>
        <w:tc>
          <w:tcPr>
            <w:tcW w:w="4536" w:type="dxa"/>
            <w:vMerge w:val="continue"/>
          </w:tcPr>
          <w:p w14:paraId="355BFF3F">
            <w:pPr>
              <w:snapToGrid w:val="0"/>
              <w:spacing w:before="156" w:beforeLines="50" w:after="50"/>
              <w:jc w:val="left"/>
              <w:rPr>
                <w:rFonts w:hint="eastAsia" w:ascii="仿宋" w:hAnsi="仿宋" w:eastAsia="仿宋"/>
                <w:b/>
                <w:szCs w:val="21"/>
                <w:highlight w:val="none"/>
              </w:rPr>
            </w:pPr>
          </w:p>
        </w:tc>
      </w:tr>
      <w:tr w14:paraId="67FF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504C064E">
            <w:pPr>
              <w:snapToGrid w:val="0"/>
              <w:spacing w:before="156" w:beforeLines="50" w:after="50"/>
              <w:jc w:val="center"/>
              <w:rPr>
                <w:rFonts w:hint="eastAsia" w:ascii="仿宋" w:hAnsi="仿宋" w:eastAsia="仿宋"/>
                <w:b/>
                <w:szCs w:val="21"/>
                <w:highlight w:val="none"/>
              </w:rPr>
            </w:pPr>
            <w:r>
              <w:rPr>
                <w:rFonts w:ascii="仿宋" w:hAnsi="仿宋" w:eastAsia="仿宋" w:cs="宋体"/>
                <w:kern w:val="0"/>
                <w:szCs w:val="21"/>
                <w:highlight w:val="none"/>
              </w:rPr>
              <w:t>……</w:t>
            </w:r>
          </w:p>
        </w:tc>
        <w:tc>
          <w:tcPr>
            <w:tcW w:w="1309" w:type="dxa"/>
            <w:tcBorders>
              <w:bottom w:val="single" w:color="auto" w:sz="4" w:space="0"/>
            </w:tcBorders>
          </w:tcPr>
          <w:p w14:paraId="0F9AC3A4">
            <w:pPr>
              <w:snapToGrid w:val="0"/>
              <w:spacing w:before="156" w:beforeLines="50" w:after="50"/>
              <w:jc w:val="left"/>
              <w:rPr>
                <w:rFonts w:hint="eastAsia" w:ascii="仿宋" w:hAnsi="仿宋" w:eastAsia="仿宋"/>
                <w:b/>
                <w:szCs w:val="21"/>
                <w:highlight w:val="none"/>
              </w:rPr>
            </w:pPr>
          </w:p>
        </w:tc>
        <w:tc>
          <w:tcPr>
            <w:tcW w:w="1384" w:type="dxa"/>
            <w:tcBorders>
              <w:bottom w:val="single" w:color="auto" w:sz="4" w:space="0"/>
            </w:tcBorders>
          </w:tcPr>
          <w:p w14:paraId="3F50343C">
            <w:pPr>
              <w:snapToGrid w:val="0"/>
              <w:spacing w:before="156" w:beforeLines="50" w:after="50"/>
              <w:jc w:val="left"/>
              <w:rPr>
                <w:rFonts w:hint="eastAsia" w:ascii="仿宋" w:hAnsi="仿宋" w:eastAsia="仿宋"/>
                <w:b/>
                <w:szCs w:val="21"/>
                <w:highlight w:val="none"/>
              </w:rPr>
            </w:pPr>
          </w:p>
        </w:tc>
        <w:tc>
          <w:tcPr>
            <w:tcW w:w="4163" w:type="dxa"/>
            <w:tcBorders>
              <w:bottom w:val="single" w:color="auto" w:sz="4" w:space="0"/>
            </w:tcBorders>
          </w:tcPr>
          <w:p w14:paraId="02F0AA7B">
            <w:pPr>
              <w:snapToGrid w:val="0"/>
              <w:spacing w:before="156" w:beforeLines="50" w:after="50"/>
              <w:jc w:val="left"/>
              <w:rPr>
                <w:rFonts w:hint="eastAsia" w:ascii="仿宋" w:hAnsi="仿宋" w:eastAsia="仿宋"/>
                <w:b/>
                <w:szCs w:val="21"/>
                <w:highlight w:val="none"/>
              </w:rPr>
            </w:pPr>
          </w:p>
        </w:tc>
        <w:tc>
          <w:tcPr>
            <w:tcW w:w="4536" w:type="dxa"/>
            <w:vMerge w:val="continue"/>
            <w:tcBorders>
              <w:bottom w:val="single" w:color="auto" w:sz="4" w:space="0"/>
            </w:tcBorders>
          </w:tcPr>
          <w:p w14:paraId="65C8EB80">
            <w:pPr>
              <w:snapToGrid w:val="0"/>
              <w:spacing w:before="156" w:beforeLines="50" w:after="50"/>
              <w:jc w:val="left"/>
              <w:rPr>
                <w:rFonts w:hint="eastAsia" w:ascii="仿宋" w:hAnsi="仿宋" w:eastAsia="仿宋"/>
                <w:b/>
                <w:szCs w:val="21"/>
                <w:highlight w:val="none"/>
              </w:rPr>
            </w:pPr>
          </w:p>
        </w:tc>
      </w:tr>
      <w:tr w14:paraId="46C6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73" w:type="dxa"/>
            <w:gridSpan w:val="4"/>
            <w:shd w:val="clear" w:color="auto" w:fill="F2DBDB"/>
            <w:vAlign w:val="center"/>
          </w:tcPr>
          <w:p w14:paraId="4F8D965A">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投标人直接管理关系信息表</w:t>
            </w:r>
          </w:p>
        </w:tc>
        <w:tc>
          <w:tcPr>
            <w:tcW w:w="4536" w:type="dxa"/>
            <w:shd w:val="clear" w:color="auto" w:fill="F2DBDB"/>
            <w:vAlign w:val="center"/>
          </w:tcPr>
          <w:p w14:paraId="05CDE493">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说明</w:t>
            </w:r>
          </w:p>
        </w:tc>
      </w:tr>
      <w:tr w14:paraId="181A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86D160B">
            <w:pPr>
              <w:snapToGrid w:val="0"/>
              <w:spacing w:before="156" w:beforeLines="50" w:after="50"/>
              <w:jc w:val="center"/>
              <w:rPr>
                <w:rFonts w:hint="eastAsia" w:ascii="仿宋" w:hAnsi="仿宋" w:eastAsia="仿宋"/>
                <w:b/>
                <w:szCs w:val="21"/>
                <w:highlight w:val="none"/>
              </w:rPr>
            </w:pPr>
            <w:r>
              <w:rPr>
                <w:rFonts w:ascii="仿宋" w:hAnsi="仿宋" w:eastAsia="仿宋" w:cs="宋体"/>
                <w:b/>
                <w:bCs/>
                <w:kern w:val="0"/>
                <w:szCs w:val="21"/>
                <w:highlight w:val="none"/>
              </w:rPr>
              <w:t>序号</w:t>
            </w:r>
          </w:p>
        </w:tc>
        <w:tc>
          <w:tcPr>
            <w:tcW w:w="2693" w:type="dxa"/>
            <w:gridSpan w:val="2"/>
            <w:vAlign w:val="center"/>
          </w:tcPr>
          <w:p w14:paraId="1BF375AC">
            <w:pPr>
              <w:snapToGrid w:val="0"/>
              <w:spacing w:before="156" w:beforeLines="50" w:after="50"/>
              <w:jc w:val="center"/>
              <w:rPr>
                <w:rFonts w:hint="eastAsia" w:ascii="仿宋" w:hAnsi="仿宋" w:eastAsia="仿宋"/>
                <w:b/>
                <w:szCs w:val="21"/>
                <w:highlight w:val="none"/>
              </w:rPr>
            </w:pPr>
            <w:r>
              <w:rPr>
                <w:rFonts w:ascii="仿宋" w:hAnsi="仿宋" w:eastAsia="仿宋" w:cs="宋体"/>
                <w:b/>
                <w:bCs/>
                <w:kern w:val="0"/>
                <w:szCs w:val="21"/>
                <w:highlight w:val="none"/>
              </w:rPr>
              <w:t>直接管理关系单位名称</w:t>
            </w:r>
          </w:p>
        </w:tc>
        <w:tc>
          <w:tcPr>
            <w:tcW w:w="4163" w:type="dxa"/>
            <w:vAlign w:val="center"/>
          </w:tcPr>
          <w:p w14:paraId="65F5FA82">
            <w:pPr>
              <w:snapToGrid w:val="0"/>
              <w:spacing w:before="156" w:beforeLines="50" w:after="50"/>
              <w:jc w:val="center"/>
              <w:rPr>
                <w:rFonts w:hint="eastAsia" w:ascii="仿宋" w:hAnsi="仿宋" w:eastAsia="仿宋"/>
                <w:b/>
                <w:szCs w:val="21"/>
                <w:highlight w:val="none"/>
              </w:rPr>
            </w:pPr>
            <w:r>
              <w:rPr>
                <w:rFonts w:ascii="仿宋" w:hAnsi="仿宋" w:eastAsia="仿宋" w:cs="宋体"/>
                <w:b/>
                <w:bCs/>
                <w:kern w:val="0"/>
                <w:szCs w:val="21"/>
                <w:highlight w:val="none"/>
              </w:rPr>
              <w:t>统一社会信用代码</w:t>
            </w:r>
          </w:p>
        </w:tc>
        <w:tc>
          <w:tcPr>
            <w:tcW w:w="4536" w:type="dxa"/>
            <w:vMerge w:val="restart"/>
            <w:vAlign w:val="center"/>
          </w:tcPr>
          <w:p w14:paraId="289841D1">
            <w:pPr>
              <w:snapToGrid w:val="0"/>
              <w:jc w:val="left"/>
              <w:rPr>
                <w:rFonts w:hint="eastAsia" w:ascii="仿宋" w:hAnsi="仿宋" w:eastAsia="仿宋"/>
                <w:szCs w:val="21"/>
                <w:highlight w:val="none"/>
              </w:rPr>
            </w:pPr>
            <w:r>
              <w:rPr>
                <w:rFonts w:ascii="仿宋" w:hAnsi="仿宋" w:eastAsia="仿宋"/>
                <w:szCs w:val="21"/>
                <w:highlight w:val="none"/>
              </w:rPr>
              <w:t>1.管理关系：是指不具有出资持股关系的其他单位之间存在的管理与被管理关系，如一些上下级关系的事业单位和团体组织。</w:t>
            </w:r>
          </w:p>
          <w:p w14:paraId="7421BAAD">
            <w:pPr>
              <w:snapToGrid w:val="0"/>
              <w:jc w:val="left"/>
              <w:rPr>
                <w:rFonts w:hint="eastAsia" w:ascii="仿宋" w:hAnsi="仿宋" w:eastAsia="仿宋"/>
                <w:szCs w:val="21"/>
                <w:highlight w:val="none"/>
              </w:rPr>
            </w:pPr>
            <w:r>
              <w:rPr>
                <w:rFonts w:ascii="仿宋" w:hAnsi="仿宋" w:eastAsia="仿宋"/>
                <w:szCs w:val="21"/>
                <w:highlight w:val="none"/>
              </w:rPr>
              <w:t>2.本表所指的管理关系仅限于直接管理关系，不包括间接的管理关系。</w:t>
            </w:r>
          </w:p>
          <w:p w14:paraId="4D037130">
            <w:pPr>
              <w:snapToGrid w:val="0"/>
              <w:jc w:val="left"/>
              <w:rPr>
                <w:rFonts w:hint="eastAsia" w:ascii="仿宋" w:hAnsi="仿宋" w:eastAsia="仿宋"/>
                <w:szCs w:val="21"/>
                <w:highlight w:val="none"/>
              </w:rPr>
            </w:pPr>
            <w:r>
              <w:rPr>
                <w:rFonts w:ascii="仿宋" w:hAnsi="仿宋" w:eastAsia="仿宋"/>
                <w:szCs w:val="21"/>
                <w:highlight w:val="none"/>
              </w:rPr>
              <w:t>3.供应商不存在直接管理关系的，则填“无”。</w:t>
            </w:r>
          </w:p>
        </w:tc>
      </w:tr>
      <w:tr w14:paraId="04F3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3D36210D">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1</w:t>
            </w:r>
          </w:p>
        </w:tc>
        <w:tc>
          <w:tcPr>
            <w:tcW w:w="2693" w:type="dxa"/>
            <w:gridSpan w:val="2"/>
            <w:vAlign w:val="center"/>
          </w:tcPr>
          <w:p w14:paraId="609EBD1F">
            <w:pPr>
              <w:snapToGrid w:val="0"/>
              <w:spacing w:before="156" w:beforeLines="50" w:after="50"/>
              <w:jc w:val="center"/>
              <w:rPr>
                <w:rFonts w:hint="eastAsia" w:ascii="仿宋" w:hAnsi="仿宋" w:eastAsia="仿宋" w:cs="宋体"/>
                <w:b/>
                <w:bCs/>
                <w:kern w:val="0"/>
                <w:szCs w:val="21"/>
                <w:highlight w:val="none"/>
              </w:rPr>
            </w:pPr>
          </w:p>
        </w:tc>
        <w:tc>
          <w:tcPr>
            <w:tcW w:w="4163" w:type="dxa"/>
            <w:vAlign w:val="center"/>
          </w:tcPr>
          <w:p w14:paraId="44CA4074">
            <w:pPr>
              <w:snapToGrid w:val="0"/>
              <w:spacing w:before="156" w:beforeLines="50" w:after="50"/>
              <w:jc w:val="center"/>
              <w:rPr>
                <w:rFonts w:hint="eastAsia" w:ascii="仿宋" w:hAnsi="仿宋" w:eastAsia="仿宋" w:cs="宋体"/>
                <w:b/>
                <w:bCs/>
                <w:kern w:val="0"/>
                <w:szCs w:val="21"/>
                <w:highlight w:val="none"/>
              </w:rPr>
            </w:pPr>
          </w:p>
        </w:tc>
        <w:tc>
          <w:tcPr>
            <w:tcW w:w="4536" w:type="dxa"/>
            <w:vMerge w:val="continue"/>
            <w:vAlign w:val="center"/>
          </w:tcPr>
          <w:p w14:paraId="1E177517">
            <w:pPr>
              <w:snapToGrid w:val="0"/>
              <w:jc w:val="left"/>
              <w:rPr>
                <w:rFonts w:hint="eastAsia" w:ascii="仿宋" w:hAnsi="仿宋" w:eastAsia="仿宋"/>
                <w:szCs w:val="21"/>
                <w:highlight w:val="none"/>
              </w:rPr>
            </w:pPr>
          </w:p>
        </w:tc>
      </w:tr>
      <w:tr w14:paraId="62CC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2C42603">
            <w:pPr>
              <w:snapToGrid w:val="0"/>
              <w:spacing w:before="156" w:beforeLines="50" w:after="50"/>
              <w:jc w:val="center"/>
              <w:rPr>
                <w:rFonts w:hint="eastAsia" w:ascii="仿宋" w:hAnsi="仿宋" w:eastAsia="仿宋"/>
                <w:b/>
                <w:szCs w:val="21"/>
                <w:highlight w:val="none"/>
              </w:rPr>
            </w:pPr>
            <w:r>
              <w:rPr>
                <w:rFonts w:ascii="仿宋" w:hAnsi="仿宋" w:eastAsia="仿宋"/>
                <w:b/>
                <w:szCs w:val="21"/>
                <w:highlight w:val="none"/>
              </w:rPr>
              <w:t>2</w:t>
            </w:r>
          </w:p>
        </w:tc>
        <w:tc>
          <w:tcPr>
            <w:tcW w:w="2693" w:type="dxa"/>
            <w:gridSpan w:val="2"/>
            <w:vAlign w:val="center"/>
          </w:tcPr>
          <w:p w14:paraId="09F2ECDA">
            <w:pPr>
              <w:snapToGrid w:val="0"/>
              <w:spacing w:before="156" w:beforeLines="50" w:after="50"/>
              <w:jc w:val="center"/>
              <w:rPr>
                <w:rFonts w:hint="eastAsia" w:ascii="仿宋" w:hAnsi="仿宋" w:eastAsia="仿宋" w:cs="宋体"/>
                <w:b/>
                <w:bCs/>
                <w:kern w:val="0"/>
                <w:szCs w:val="21"/>
                <w:highlight w:val="none"/>
              </w:rPr>
            </w:pPr>
          </w:p>
        </w:tc>
        <w:tc>
          <w:tcPr>
            <w:tcW w:w="4163" w:type="dxa"/>
            <w:vAlign w:val="center"/>
          </w:tcPr>
          <w:p w14:paraId="47751DAB">
            <w:pPr>
              <w:snapToGrid w:val="0"/>
              <w:spacing w:before="156" w:beforeLines="50" w:after="50"/>
              <w:jc w:val="center"/>
              <w:rPr>
                <w:rFonts w:hint="eastAsia" w:ascii="仿宋" w:hAnsi="仿宋" w:eastAsia="仿宋" w:cs="宋体"/>
                <w:b/>
                <w:bCs/>
                <w:kern w:val="0"/>
                <w:szCs w:val="21"/>
                <w:highlight w:val="none"/>
              </w:rPr>
            </w:pPr>
          </w:p>
        </w:tc>
        <w:tc>
          <w:tcPr>
            <w:tcW w:w="4536" w:type="dxa"/>
            <w:vMerge w:val="continue"/>
            <w:vAlign w:val="center"/>
          </w:tcPr>
          <w:p w14:paraId="730004FB">
            <w:pPr>
              <w:snapToGrid w:val="0"/>
              <w:jc w:val="left"/>
              <w:rPr>
                <w:rFonts w:hint="eastAsia" w:ascii="仿宋" w:hAnsi="仿宋" w:eastAsia="仿宋"/>
                <w:szCs w:val="21"/>
                <w:highlight w:val="none"/>
              </w:rPr>
            </w:pPr>
          </w:p>
        </w:tc>
      </w:tr>
      <w:tr w14:paraId="7CDA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7FDA925">
            <w:pPr>
              <w:snapToGrid w:val="0"/>
              <w:spacing w:before="156" w:beforeLines="50" w:after="50"/>
              <w:jc w:val="center"/>
              <w:rPr>
                <w:rFonts w:hint="eastAsia" w:ascii="仿宋" w:hAnsi="仿宋" w:eastAsia="仿宋"/>
                <w:b/>
                <w:szCs w:val="21"/>
                <w:highlight w:val="none"/>
              </w:rPr>
            </w:pPr>
            <w:r>
              <w:rPr>
                <w:rFonts w:ascii="仿宋" w:hAnsi="仿宋" w:eastAsia="仿宋" w:cs="宋体"/>
                <w:kern w:val="0"/>
                <w:szCs w:val="21"/>
                <w:highlight w:val="none"/>
              </w:rPr>
              <w:t>……</w:t>
            </w:r>
          </w:p>
        </w:tc>
        <w:tc>
          <w:tcPr>
            <w:tcW w:w="2693" w:type="dxa"/>
            <w:gridSpan w:val="2"/>
            <w:vAlign w:val="center"/>
          </w:tcPr>
          <w:p w14:paraId="694ECFBF">
            <w:pPr>
              <w:snapToGrid w:val="0"/>
              <w:spacing w:before="156" w:beforeLines="50" w:after="50"/>
              <w:jc w:val="center"/>
              <w:rPr>
                <w:rFonts w:hint="eastAsia" w:ascii="仿宋" w:hAnsi="仿宋" w:eastAsia="仿宋" w:cs="宋体"/>
                <w:b/>
                <w:bCs/>
                <w:kern w:val="0"/>
                <w:szCs w:val="21"/>
                <w:highlight w:val="none"/>
              </w:rPr>
            </w:pPr>
          </w:p>
        </w:tc>
        <w:tc>
          <w:tcPr>
            <w:tcW w:w="4163" w:type="dxa"/>
            <w:vAlign w:val="center"/>
          </w:tcPr>
          <w:p w14:paraId="0F84D464">
            <w:pPr>
              <w:snapToGrid w:val="0"/>
              <w:spacing w:before="156" w:beforeLines="50" w:after="50"/>
              <w:jc w:val="center"/>
              <w:rPr>
                <w:rFonts w:hint="eastAsia" w:ascii="仿宋" w:hAnsi="仿宋" w:eastAsia="仿宋" w:cs="宋体"/>
                <w:b/>
                <w:bCs/>
                <w:kern w:val="0"/>
                <w:szCs w:val="21"/>
                <w:highlight w:val="none"/>
              </w:rPr>
            </w:pPr>
          </w:p>
        </w:tc>
        <w:tc>
          <w:tcPr>
            <w:tcW w:w="4536" w:type="dxa"/>
            <w:vMerge w:val="continue"/>
            <w:vAlign w:val="center"/>
          </w:tcPr>
          <w:p w14:paraId="75D4B96C">
            <w:pPr>
              <w:snapToGrid w:val="0"/>
              <w:jc w:val="left"/>
              <w:rPr>
                <w:rFonts w:hint="eastAsia" w:ascii="仿宋" w:hAnsi="仿宋" w:eastAsia="仿宋"/>
                <w:szCs w:val="21"/>
                <w:highlight w:val="none"/>
              </w:rPr>
            </w:pPr>
          </w:p>
        </w:tc>
      </w:tr>
    </w:tbl>
    <w:p w14:paraId="5DE7D57D">
      <w:pPr>
        <w:snapToGrid w:val="0"/>
        <w:spacing w:line="360" w:lineRule="auto"/>
        <w:jc w:val="left"/>
        <w:rPr>
          <w:rFonts w:hint="eastAsia" w:ascii="仿宋" w:hAnsi="仿宋" w:eastAsia="仿宋"/>
          <w:sz w:val="24"/>
          <w:highlight w:val="none"/>
        </w:rPr>
      </w:pPr>
    </w:p>
    <w:p w14:paraId="21F60DC7">
      <w:pPr>
        <w:snapToGrid w:val="0"/>
        <w:spacing w:line="360" w:lineRule="auto"/>
        <w:ind w:firstLine="4840" w:firstLineChars="2200"/>
        <w:rPr>
          <w:rFonts w:hint="eastAsia" w:ascii="仿宋" w:hAnsi="仿宋" w:eastAsia="仿宋" w:cs="仿宋_GB2312"/>
          <w:kern w:val="0"/>
          <w:sz w:val="22"/>
          <w:highlight w:val="none"/>
          <w:u w:val="single"/>
        </w:rPr>
      </w:pPr>
      <w:r>
        <w:rPr>
          <w:rFonts w:hint="eastAsia" w:ascii="仿宋" w:hAnsi="仿宋" w:eastAsia="仿宋" w:cs="仿宋_GB2312"/>
          <w:kern w:val="0"/>
          <w:sz w:val="22"/>
          <w:highlight w:val="none"/>
          <w:lang w:val="zh-CN"/>
        </w:rPr>
        <w:t>投标人名称(</w:t>
      </w:r>
      <w:r>
        <w:rPr>
          <w:rFonts w:hint="eastAsia" w:ascii="仿宋" w:hAnsi="仿宋" w:eastAsia="仿宋" w:cs="仿宋_GB2312"/>
          <w:kern w:val="0"/>
          <w:sz w:val="22"/>
          <w:highlight w:val="none"/>
        </w:rPr>
        <w:t>公章</w:t>
      </w:r>
      <w:r>
        <w:rPr>
          <w:rFonts w:hint="eastAsia" w:ascii="仿宋" w:hAnsi="仿宋" w:eastAsia="仿宋" w:cs="仿宋_GB2312"/>
          <w:kern w:val="0"/>
          <w:sz w:val="22"/>
          <w:highlight w:val="none"/>
          <w:lang w:val="zh-CN"/>
        </w:rPr>
        <w:t>)：</w:t>
      </w:r>
      <w:r>
        <w:rPr>
          <w:rFonts w:hint="eastAsia" w:ascii="仿宋" w:hAnsi="仿宋" w:eastAsia="仿宋" w:cs="仿宋_GB2312"/>
          <w:kern w:val="0"/>
          <w:sz w:val="22"/>
          <w:highlight w:val="none"/>
          <w:u w:val="single"/>
          <w:lang w:val="zh-CN"/>
        </w:rPr>
        <w:t xml:space="preserve"> </w:t>
      </w:r>
      <w:r>
        <w:rPr>
          <w:rFonts w:ascii="仿宋" w:hAnsi="仿宋" w:eastAsia="仿宋" w:cs="仿宋_GB2312"/>
          <w:kern w:val="0"/>
          <w:sz w:val="22"/>
          <w:highlight w:val="none"/>
          <w:u w:val="single"/>
          <w:lang w:val="zh-CN"/>
        </w:rPr>
        <w:t xml:space="preserve">         </w:t>
      </w:r>
    </w:p>
    <w:p w14:paraId="087296B0">
      <w:pPr>
        <w:snapToGrid w:val="0"/>
        <w:spacing w:line="360" w:lineRule="auto"/>
        <w:ind w:firstLine="4730" w:firstLineChars="2150"/>
        <w:rPr>
          <w:rFonts w:hint="eastAsia" w:ascii="仿宋" w:hAnsi="仿宋" w:eastAsia="仿宋" w:cs="仿宋_GB2312"/>
          <w:kern w:val="0"/>
          <w:sz w:val="22"/>
          <w:highlight w:val="none"/>
          <w:lang w:val="zh-CN"/>
        </w:rPr>
        <w:sectPr>
          <w:footerReference r:id="rId3" w:type="default"/>
          <w:pgSz w:w="16838" w:h="11906" w:orient="landscape"/>
          <w:pgMar w:top="1380" w:right="1440" w:bottom="1286" w:left="1440" w:header="851" w:footer="992" w:gutter="0"/>
          <w:cols w:space="720" w:num="1"/>
          <w:docGrid w:type="lines" w:linePitch="312" w:charSpace="0"/>
        </w:sectPr>
      </w:pPr>
      <w:r>
        <w:rPr>
          <w:rFonts w:hint="eastAsia" w:ascii="仿宋" w:hAnsi="仿宋" w:eastAsia="仿宋" w:cs="仿宋_GB2312"/>
          <w:kern w:val="0"/>
          <w:sz w:val="22"/>
          <w:highlight w:val="none"/>
          <w:lang w:val="zh-CN"/>
        </w:rPr>
        <w:t>日期</w:t>
      </w:r>
      <w:r>
        <w:rPr>
          <w:rFonts w:hint="eastAsia" w:ascii="仿宋" w:hAnsi="仿宋" w:eastAsia="仿宋" w:cs="仿宋_GB2312"/>
          <w:kern w:val="0"/>
          <w:sz w:val="22"/>
          <w:highlight w:val="none"/>
        </w:rPr>
        <w:t xml:space="preserve">：  年  </w:t>
      </w:r>
      <w:r>
        <w:rPr>
          <w:rFonts w:hint="eastAsia" w:ascii="仿宋" w:hAnsi="仿宋" w:eastAsia="仿宋" w:cs="仿宋_GB2312"/>
          <w:kern w:val="0"/>
          <w:sz w:val="22"/>
          <w:highlight w:val="none"/>
          <w:lang w:val="zh-CN"/>
        </w:rPr>
        <w:t>月</w:t>
      </w:r>
      <w:r>
        <w:rPr>
          <w:rFonts w:hint="eastAsia" w:ascii="仿宋" w:hAnsi="仿宋" w:eastAsia="仿宋" w:cs="仿宋_GB2312"/>
          <w:kern w:val="0"/>
          <w:sz w:val="22"/>
          <w:highlight w:val="none"/>
        </w:rPr>
        <w:t xml:space="preserve">   </w:t>
      </w:r>
      <w:r>
        <w:rPr>
          <w:rFonts w:hint="eastAsia" w:ascii="仿宋" w:hAnsi="仿宋" w:eastAsia="仿宋" w:cs="仿宋_GB2312"/>
          <w:kern w:val="0"/>
          <w:sz w:val="22"/>
          <w:highlight w:val="none"/>
          <w:lang w:val="zh-CN"/>
        </w:rPr>
        <w:t>日</w:t>
      </w:r>
    </w:p>
    <w:p w14:paraId="3060F30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 w:hAnsi="仿宋" w:eastAsia="仿宋"/>
          <w:b/>
          <w:sz w:val="22"/>
          <w:szCs w:val="22"/>
          <w:highlight w:val="none"/>
          <w:lang w:val="en-US" w:eastAsia="zh-CN"/>
        </w:rPr>
      </w:pPr>
      <w:r>
        <w:rPr>
          <w:rFonts w:hint="eastAsia" w:ascii="仿宋" w:hAnsi="仿宋" w:eastAsia="仿宋"/>
          <w:b/>
          <w:sz w:val="22"/>
          <w:szCs w:val="22"/>
          <w:highlight w:val="none"/>
          <w:lang w:val="en-US" w:eastAsia="zh-CN"/>
        </w:rPr>
        <w:t>附件3</w:t>
      </w:r>
    </w:p>
    <w:p w14:paraId="654558FD">
      <w:pPr>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维</w:t>
      </w:r>
      <w:r>
        <w:rPr>
          <w:rFonts w:hint="eastAsia" w:ascii="仿宋" w:hAnsi="仿宋" w:eastAsia="仿宋" w:cs="仿宋"/>
          <w:b/>
          <w:sz w:val="48"/>
          <w:szCs w:val="48"/>
          <w:highlight w:val="none"/>
          <w:lang w:val="en-US" w:eastAsia="zh-CN"/>
        </w:rPr>
        <w:t>修及维</w:t>
      </w:r>
      <w:r>
        <w:rPr>
          <w:rFonts w:hint="eastAsia" w:ascii="仿宋" w:hAnsi="仿宋" w:eastAsia="仿宋" w:cs="仿宋"/>
          <w:b/>
          <w:sz w:val="48"/>
          <w:szCs w:val="48"/>
          <w:highlight w:val="none"/>
        </w:rPr>
        <w:t>保服务合同</w:t>
      </w:r>
    </w:p>
    <w:p w14:paraId="778BA945">
      <w:pPr>
        <w:spacing w:line="360" w:lineRule="auto"/>
        <w:ind w:left="0" w:leftChars="0" w:firstLine="0" w:firstLineChars="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以最终协商签订的合同为准</w:t>
      </w:r>
      <w:r>
        <w:rPr>
          <w:rFonts w:hint="eastAsia" w:ascii="仿宋" w:hAnsi="仿宋" w:eastAsia="仿宋" w:cs="仿宋"/>
          <w:sz w:val="24"/>
          <w:highlight w:val="none"/>
          <w:lang w:eastAsia="zh-CN"/>
        </w:rPr>
        <w:t>）</w:t>
      </w:r>
    </w:p>
    <w:p w14:paraId="1720E75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项目名称：广西艺术学院2025-2026年网络和数据中心机房空调、UPS不间断电源维修和维保服务</w:t>
      </w:r>
    </w:p>
    <w:p w14:paraId="469A5238">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合同编码：</w:t>
      </w:r>
      <w:r>
        <w:rPr>
          <w:rFonts w:hint="eastAsia" w:ascii="宋体" w:hAnsi="宋体" w:eastAsia="宋体" w:cs="宋体"/>
          <w:sz w:val="21"/>
          <w:szCs w:val="21"/>
          <w:highlight w:val="none"/>
          <w:lang w:val="en-US" w:eastAsia="zh-CN"/>
        </w:rPr>
        <w:t xml:space="preserve">  </w:t>
      </w:r>
    </w:p>
    <w:p w14:paraId="7169CEA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甲方（买方）：广西艺术学院</w:t>
      </w:r>
    </w:p>
    <w:p w14:paraId="7CCE6053">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乙方（卖方）：</w:t>
      </w:r>
    </w:p>
    <w:p w14:paraId="50568BA2">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一、合同范围</w:t>
      </w:r>
    </w:p>
    <w:p w14:paraId="4F1C1FA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南湖校区：</w:t>
      </w:r>
      <w:r>
        <w:rPr>
          <w:rFonts w:hint="eastAsia" w:ascii="宋体" w:hAnsi="宋体" w:eastAsia="宋体" w:cs="宋体"/>
          <w:sz w:val="21"/>
          <w:szCs w:val="21"/>
          <w:highlight w:val="none"/>
        </w:rPr>
        <w:t>维谛（艾默生）70KW精密空调</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台</w:t>
      </w:r>
      <w:r>
        <w:rPr>
          <w:rFonts w:hint="eastAsia" w:ascii="宋体" w:hAnsi="宋体" w:eastAsia="宋体" w:cs="宋体"/>
          <w:sz w:val="21"/>
          <w:szCs w:val="21"/>
          <w:highlight w:val="none"/>
        </w:rPr>
        <w:t>；90KVA UPS</w:t>
      </w:r>
      <w:r>
        <w:rPr>
          <w:rFonts w:hint="eastAsia" w:ascii="宋体" w:hAnsi="宋体" w:eastAsia="宋体" w:cs="宋体"/>
          <w:sz w:val="21"/>
          <w:szCs w:val="21"/>
          <w:highlight w:val="none"/>
          <w:lang w:val="en-US" w:eastAsia="zh-CN"/>
        </w:rPr>
        <w:t xml:space="preserve"> 1台</w:t>
      </w:r>
      <w:r>
        <w:rPr>
          <w:rFonts w:hint="eastAsia" w:ascii="宋体" w:hAnsi="宋体" w:eastAsia="宋体" w:cs="宋体"/>
          <w:sz w:val="21"/>
          <w:szCs w:val="21"/>
          <w:highlight w:val="none"/>
        </w:rPr>
        <w:t>（不含蓄电池更换）</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12.5KW精密空调1</w:t>
      </w:r>
      <w:r>
        <w:rPr>
          <w:rFonts w:hint="eastAsia" w:ascii="宋体" w:hAnsi="宋体" w:eastAsia="宋体" w:cs="宋体"/>
          <w:sz w:val="21"/>
          <w:szCs w:val="21"/>
          <w:highlight w:val="none"/>
          <w:lang w:val="en-US" w:eastAsia="zh-CN"/>
        </w:rPr>
        <w:t>台；</w:t>
      </w:r>
      <w:r>
        <w:rPr>
          <w:rFonts w:hint="eastAsia" w:ascii="宋体" w:hAnsi="宋体" w:eastAsia="宋体" w:cs="宋体"/>
          <w:sz w:val="21"/>
          <w:szCs w:val="21"/>
          <w:highlight w:val="none"/>
        </w:rPr>
        <w:t>7.5KW精密空调2</w:t>
      </w:r>
      <w:r>
        <w:rPr>
          <w:rFonts w:hint="eastAsia" w:ascii="宋体" w:hAnsi="宋体" w:eastAsia="宋体" w:cs="宋体"/>
          <w:sz w:val="21"/>
          <w:szCs w:val="21"/>
          <w:highlight w:val="none"/>
          <w:lang w:val="en-US" w:eastAsia="zh-CN"/>
        </w:rPr>
        <w:t>台</w:t>
      </w:r>
      <w:r>
        <w:rPr>
          <w:rFonts w:hint="eastAsia" w:ascii="宋体" w:hAnsi="宋体" w:eastAsia="宋体" w:cs="宋体"/>
          <w:sz w:val="21"/>
          <w:szCs w:val="21"/>
          <w:highlight w:val="none"/>
        </w:rPr>
        <w:t>。</w:t>
      </w:r>
    </w:p>
    <w:p w14:paraId="43BEA41D">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相思湖校区：12.5KW精密空调 1台；45KW精密空调 3台；60KVA UPS 1台</w:t>
      </w:r>
      <w:r>
        <w:rPr>
          <w:rFonts w:hint="eastAsia" w:ascii="宋体" w:hAnsi="宋体" w:eastAsia="宋体" w:cs="宋体"/>
          <w:sz w:val="21"/>
          <w:szCs w:val="21"/>
          <w:highlight w:val="none"/>
        </w:rPr>
        <w:t>（不含蓄电池更换）</w:t>
      </w:r>
      <w:r>
        <w:rPr>
          <w:rFonts w:hint="eastAsia" w:ascii="宋体" w:hAnsi="宋体" w:eastAsia="宋体" w:cs="宋体"/>
          <w:sz w:val="21"/>
          <w:szCs w:val="21"/>
          <w:highlight w:val="none"/>
          <w:lang w:val="en-US" w:eastAsia="zh-CN"/>
        </w:rPr>
        <w:t>；UPS功率模块更换 2个；机房动环系统修复 1项。</w:t>
      </w:r>
    </w:p>
    <w:p w14:paraId="53FEAC7B">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二、合同金额</w:t>
      </w:r>
    </w:p>
    <w:p w14:paraId="40392E0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本合同金额为(大写):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元)人民币。</w:t>
      </w:r>
    </w:p>
    <w:p w14:paraId="4B494B3A">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三、合同期限</w:t>
      </w:r>
    </w:p>
    <w:p w14:paraId="46C6E456">
      <w:pPr>
        <w:tabs>
          <w:tab w:val="left" w:pos="84"/>
        </w:tabs>
        <w:adjustRightInd w:val="0"/>
        <w:snapToGrid w:val="0"/>
        <w:spacing w:line="360" w:lineRule="auto"/>
        <w:ind w:firstLine="420" w:firstLineChars="200"/>
        <w:rPr>
          <w:rFonts w:ascii="宋体" w:hAnsi="宋体" w:eastAsia="宋体" w:cs="宋体"/>
          <w:kern w:val="0"/>
          <w:sz w:val="21"/>
          <w:szCs w:val="21"/>
          <w:highlight w:val="none"/>
          <w:u w:val="single"/>
        </w:rPr>
      </w:pPr>
      <w:r>
        <w:rPr>
          <w:rFonts w:hint="eastAsia" w:ascii="宋体" w:hAnsi="宋体" w:eastAsia="宋体" w:cs="宋体"/>
          <w:kern w:val="0"/>
          <w:sz w:val="21"/>
          <w:szCs w:val="21"/>
          <w:highlight w:val="none"/>
        </w:rPr>
        <w:t>合同签订后维护服务期为1年，维护服务地点：</w:t>
      </w:r>
      <w:r>
        <w:rPr>
          <w:rFonts w:hint="eastAsia" w:ascii="宋体" w:hAnsi="宋体" w:eastAsia="宋体" w:cs="宋体"/>
          <w:sz w:val="21"/>
          <w:szCs w:val="21"/>
          <w:highlight w:val="none"/>
          <w:u w:val="single"/>
        </w:rPr>
        <w:t>广西艺术学院南湖校区</w:t>
      </w:r>
      <w:r>
        <w:rPr>
          <w:rFonts w:hint="eastAsia" w:ascii="宋体" w:hAnsi="宋体" w:eastAsia="宋体" w:cs="宋体"/>
          <w:sz w:val="21"/>
          <w:szCs w:val="21"/>
          <w:highlight w:val="none"/>
          <w:u w:val="single"/>
          <w:lang w:val="en-US" w:eastAsia="zh-CN"/>
        </w:rPr>
        <w:t>及相思湖校区</w:t>
      </w:r>
    </w:p>
    <w:p w14:paraId="67ED9164">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四、具体服务内容及基本要求</w:t>
      </w:r>
    </w:p>
    <w:p w14:paraId="00B2CC97">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本次合同条款涉及到维谛（艾默生）精密空调、UPS电源1年维保服务，服务期限：自 202</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 xml:space="preserve">年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月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日起，至 202</w:t>
      </w: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 xml:space="preserve">年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月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日止。</w:t>
      </w:r>
    </w:p>
    <w:p w14:paraId="510CC828">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针对本合同内的维谛（艾默生）精密空调</w:t>
      </w:r>
      <w:r>
        <w:rPr>
          <w:rFonts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t>UPS电源提供定期巡查测试，及时发现并记录故障或隐患，对于现场就能够处理的故障或故障隐患就现场解决，否则将故障隐患上报。</w:t>
      </w:r>
    </w:p>
    <w:p w14:paraId="11E56C2A">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在维保期内如发现精密</w:t>
      </w:r>
      <w:r>
        <w:rPr>
          <w:rFonts w:ascii="宋体" w:hAnsi="宋体" w:eastAsia="宋体" w:cs="宋体"/>
          <w:color w:val="000000"/>
          <w:kern w:val="0"/>
          <w:sz w:val="21"/>
          <w:szCs w:val="21"/>
          <w:highlight w:val="none"/>
        </w:rPr>
        <w:t>空调、</w:t>
      </w:r>
      <w:r>
        <w:rPr>
          <w:rFonts w:hint="eastAsia" w:ascii="宋体" w:hAnsi="宋体" w:eastAsia="宋体" w:cs="宋体"/>
          <w:color w:val="000000"/>
          <w:kern w:val="0"/>
          <w:sz w:val="21"/>
          <w:szCs w:val="21"/>
          <w:highlight w:val="none"/>
        </w:rPr>
        <w:t>UPS设备故障，乙方应7*24小时提供技术服务，必要时提供现场服务工作，针对损坏备件乙方应承担免费更换，不再收取甲方任何费用。</w:t>
      </w:r>
    </w:p>
    <w:p w14:paraId="6DF66514">
      <w:pPr>
        <w:spacing w:line="360" w:lineRule="auto"/>
        <w:ind w:firstLine="420" w:firstLineChars="200"/>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乙方应按相关规程进行安全作业，对因乙方作业造成的人身、财产损害承担责任。</w:t>
      </w:r>
    </w:p>
    <w:p w14:paraId="44DCD925">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每次巡检结束，乙方应当向甲方提供相应的巡检服务报告，报告内容不限于以下内容：</w:t>
      </w:r>
    </w:p>
    <w:p w14:paraId="74223042">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本次巡检服务内容</w:t>
      </w:r>
    </w:p>
    <w:p w14:paraId="0D8B9901">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设备运行实测参数</w:t>
      </w:r>
    </w:p>
    <w:p w14:paraId="6F341AE1">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设备遗留问题</w:t>
      </w:r>
    </w:p>
    <w:p w14:paraId="54EADB76">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设备处理结果</w:t>
      </w:r>
    </w:p>
    <w:p w14:paraId="1383F21B">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日常维护的方案或建议</w:t>
      </w:r>
    </w:p>
    <w:p w14:paraId="4EBFD5A6">
      <w:pPr>
        <w:spacing w:line="360" w:lineRule="auto"/>
        <w:rPr>
          <w:rFonts w:hint="eastAsia" w:ascii="宋体" w:hAnsi="宋体" w:eastAsia="宋体" w:cs="宋体"/>
          <w:bCs/>
          <w:sz w:val="21"/>
          <w:szCs w:val="21"/>
          <w:highlight w:val="none"/>
        </w:rPr>
      </w:pPr>
      <w:r>
        <w:rPr>
          <w:rFonts w:hint="eastAsia" w:ascii="宋体" w:hAnsi="宋体" w:eastAsia="宋体" w:cs="宋体"/>
          <w:b/>
          <w:sz w:val="21"/>
          <w:szCs w:val="21"/>
          <w:highlight w:val="none"/>
        </w:rPr>
        <w:t>7*24小时紧急服务联系人：</w:t>
      </w:r>
    </w:p>
    <w:p w14:paraId="2B6FCF85">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w:t>
      </w:r>
      <w:r>
        <w:rPr>
          <w:rFonts w:hint="eastAsia" w:ascii="宋体" w:hAnsi="宋体" w:eastAsia="宋体" w:cs="宋体"/>
          <w:b/>
          <w:sz w:val="21"/>
          <w:szCs w:val="21"/>
          <w:highlight w:val="none"/>
          <w:lang w:val="en-US" w:eastAsia="zh-CN"/>
        </w:rPr>
        <w:t>维修及</w:t>
      </w:r>
      <w:r>
        <w:rPr>
          <w:rFonts w:ascii="宋体" w:hAnsi="宋体" w:eastAsia="宋体" w:cs="宋体"/>
          <w:b/>
          <w:sz w:val="21"/>
          <w:szCs w:val="21"/>
          <w:highlight w:val="none"/>
        </w:rPr>
        <w:t>维保清单</w:t>
      </w:r>
    </w:p>
    <w:tbl>
      <w:tblPr>
        <w:tblStyle w:val="7"/>
        <w:tblW w:w="54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817"/>
        <w:gridCol w:w="741"/>
        <w:gridCol w:w="862"/>
        <w:gridCol w:w="5556"/>
        <w:gridCol w:w="740"/>
        <w:gridCol w:w="626"/>
        <w:gridCol w:w="660"/>
      </w:tblGrid>
      <w:tr w14:paraId="3E62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 w:type="pct"/>
            <w:noWrap w:val="0"/>
            <w:vAlign w:val="center"/>
          </w:tcPr>
          <w:p w14:paraId="3DFB2FB8">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序号</w:t>
            </w:r>
          </w:p>
        </w:tc>
        <w:tc>
          <w:tcPr>
            <w:tcW w:w="393" w:type="pct"/>
            <w:noWrap w:val="0"/>
            <w:vAlign w:val="center"/>
          </w:tcPr>
          <w:p w14:paraId="4284B818">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产品名称</w:t>
            </w:r>
          </w:p>
        </w:tc>
        <w:tc>
          <w:tcPr>
            <w:tcW w:w="357" w:type="pct"/>
            <w:noWrap w:val="0"/>
            <w:vAlign w:val="center"/>
          </w:tcPr>
          <w:p w14:paraId="5DC9CE15">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品牌</w:t>
            </w:r>
          </w:p>
        </w:tc>
        <w:tc>
          <w:tcPr>
            <w:tcW w:w="415" w:type="pct"/>
            <w:noWrap w:val="0"/>
            <w:vAlign w:val="center"/>
          </w:tcPr>
          <w:p w14:paraId="5B57D1D6">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原产品型号</w:t>
            </w:r>
          </w:p>
        </w:tc>
        <w:tc>
          <w:tcPr>
            <w:tcW w:w="2678" w:type="pct"/>
            <w:noWrap w:val="0"/>
            <w:vAlign w:val="center"/>
          </w:tcPr>
          <w:p w14:paraId="04A69FB6">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服务内容描述</w:t>
            </w:r>
          </w:p>
        </w:tc>
        <w:tc>
          <w:tcPr>
            <w:tcW w:w="356" w:type="pct"/>
            <w:noWrap w:val="0"/>
            <w:vAlign w:val="center"/>
          </w:tcPr>
          <w:p w14:paraId="45442422">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单位</w:t>
            </w:r>
          </w:p>
        </w:tc>
        <w:tc>
          <w:tcPr>
            <w:tcW w:w="302" w:type="pct"/>
            <w:noWrap w:val="0"/>
            <w:vAlign w:val="center"/>
          </w:tcPr>
          <w:p w14:paraId="07645CF5">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数量</w:t>
            </w:r>
          </w:p>
        </w:tc>
        <w:tc>
          <w:tcPr>
            <w:tcW w:w="317" w:type="pct"/>
            <w:noWrap w:val="0"/>
            <w:vAlign w:val="center"/>
          </w:tcPr>
          <w:p w14:paraId="1345DB76">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备注</w:t>
            </w:r>
          </w:p>
        </w:tc>
      </w:tr>
      <w:tr w14:paraId="3DB8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000" w:type="pct"/>
            <w:gridSpan w:val="8"/>
            <w:noWrap w:val="0"/>
            <w:vAlign w:val="center"/>
          </w:tcPr>
          <w:p w14:paraId="5A131353">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南湖校区数据中心机房UPS、精密空调维保部分</w:t>
            </w:r>
          </w:p>
        </w:tc>
      </w:tr>
      <w:tr w14:paraId="39D2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177" w:type="pct"/>
            <w:noWrap w:val="0"/>
            <w:vAlign w:val="center"/>
          </w:tcPr>
          <w:p w14:paraId="3824164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393" w:type="pct"/>
            <w:noWrap w:val="0"/>
            <w:vAlign w:val="center"/>
          </w:tcPr>
          <w:p w14:paraId="11824D57">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70KW精密空调</w:t>
            </w:r>
          </w:p>
        </w:tc>
        <w:tc>
          <w:tcPr>
            <w:tcW w:w="357" w:type="pct"/>
            <w:noWrap w:val="0"/>
            <w:vAlign w:val="center"/>
          </w:tcPr>
          <w:p w14:paraId="23F3F08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维谛（原艾默生）</w:t>
            </w:r>
          </w:p>
        </w:tc>
        <w:tc>
          <w:tcPr>
            <w:tcW w:w="415" w:type="pct"/>
            <w:noWrap w:val="0"/>
            <w:vAlign w:val="center"/>
          </w:tcPr>
          <w:p w14:paraId="1B70A2BC">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P2070FA&amp;LDF42*2</w:t>
            </w:r>
          </w:p>
        </w:tc>
        <w:tc>
          <w:tcPr>
            <w:tcW w:w="2678" w:type="pct"/>
            <w:noWrap w:val="0"/>
            <w:vAlign w:val="center"/>
          </w:tcPr>
          <w:p w14:paraId="4ED999F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(1)提供精密空调的全维护，现场维修，故障涉及的所有器件更换设备常用备件保障；</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(3)提供7*24小时故障远程技术支持或现场维修等支持；</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(4)以上项目完成作业后，</w:t>
            </w:r>
            <w:r>
              <w:rPr>
                <w:rFonts w:hint="eastAsia" w:ascii="宋体" w:hAnsi="宋体" w:eastAsia="宋体" w:cs="宋体"/>
                <w:kern w:val="0"/>
                <w:sz w:val="18"/>
                <w:szCs w:val="18"/>
                <w:highlight w:val="none"/>
                <w:lang w:eastAsia="zh-CN"/>
              </w:rPr>
              <w:t>成交人</w:t>
            </w:r>
            <w:r>
              <w:rPr>
                <w:rFonts w:hint="eastAsia" w:ascii="宋体" w:hAnsi="宋体" w:eastAsia="宋体" w:cs="宋体"/>
                <w:kern w:val="0"/>
                <w:sz w:val="18"/>
                <w:szCs w:val="18"/>
                <w:highlight w:val="none"/>
              </w:rPr>
              <w:t>按季度出具维保服务巡检报告和</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提供的《精密空调维护保养记录表》，</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确认无误后双方签字确认。</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(5)每年根据</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要求出具一份对所有维保精密空调的总体评估报告，包含设备的室内机和室外机以及铜管管路的现状，及给</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的具体建议等。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(6)供应商要求：须获得设备原厂家维保授权书及原厂售后服务承诺函。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(7)出现故障10分钟内做出响应，1小时内到达维修现场。一般问题应在6小时内解决，重大问题或其它无法迅速解决的问题应在</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日内解决。</w:t>
            </w:r>
          </w:p>
          <w:p w14:paraId="3BFCA72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(8) 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73A0ABF6">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台/年</w:t>
            </w:r>
          </w:p>
        </w:tc>
        <w:tc>
          <w:tcPr>
            <w:tcW w:w="302" w:type="pct"/>
            <w:noWrap w:val="0"/>
            <w:vAlign w:val="center"/>
          </w:tcPr>
          <w:p w14:paraId="7CB406A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317" w:type="pct"/>
            <w:noWrap w:val="0"/>
            <w:vAlign w:val="center"/>
          </w:tcPr>
          <w:p w14:paraId="2CA0CBA6">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1FE2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7" w:type="pct"/>
            <w:noWrap w:val="0"/>
            <w:vAlign w:val="center"/>
          </w:tcPr>
          <w:p w14:paraId="42B9CF6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393" w:type="pct"/>
            <w:noWrap w:val="0"/>
            <w:vAlign w:val="center"/>
          </w:tcPr>
          <w:p w14:paraId="3D8BA8B0">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90KVA UPS</w:t>
            </w:r>
          </w:p>
        </w:tc>
        <w:tc>
          <w:tcPr>
            <w:tcW w:w="357" w:type="pct"/>
            <w:noWrap w:val="0"/>
            <w:vAlign w:val="center"/>
          </w:tcPr>
          <w:p w14:paraId="59E18799">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维谛（原艾默生）</w:t>
            </w:r>
          </w:p>
        </w:tc>
        <w:tc>
          <w:tcPr>
            <w:tcW w:w="415" w:type="pct"/>
            <w:noWrap w:val="0"/>
            <w:vAlign w:val="center"/>
          </w:tcPr>
          <w:p w14:paraId="0967AE7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APM-150-90KVA</w:t>
            </w:r>
          </w:p>
        </w:tc>
        <w:tc>
          <w:tcPr>
            <w:tcW w:w="2678" w:type="pct"/>
            <w:noWrap w:val="0"/>
            <w:vAlign w:val="center"/>
          </w:tcPr>
          <w:p w14:paraId="30D7E0A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(1)提供UPS电源电器柜及功率模块的全维护，现场维修，故障涉及的所有器件更换设备常用备件保障（不含蓄电池）；</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(2)每次巡检对大功率UPS、蓄电池组及电源输出柜进行一次联动功能测试，保证整体系统的正常切换。</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(3)对大功率UPS设备进行功能测试，通过专业技术测试各供电模块、配件的数据，若设备出现损坏或指标不达标时，在当天通过电话/邮件等方式反馈</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(4)对蓄电池组进行至少一次带载充放电功能测试，在巡检中如发现损坏及时通知</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暂停使用或者告知</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需重新采购新电池。</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(5)以上项目完成作业后，</w:t>
            </w:r>
            <w:r>
              <w:rPr>
                <w:rFonts w:hint="eastAsia" w:ascii="宋体" w:hAnsi="宋体" w:eastAsia="宋体" w:cs="宋体"/>
                <w:kern w:val="0"/>
                <w:sz w:val="18"/>
                <w:szCs w:val="18"/>
                <w:highlight w:val="none"/>
                <w:lang w:eastAsia="zh-CN"/>
              </w:rPr>
              <w:t>成交人</w:t>
            </w:r>
            <w:r>
              <w:rPr>
                <w:rFonts w:hint="eastAsia" w:ascii="宋体" w:hAnsi="宋体" w:eastAsia="宋体" w:cs="宋体"/>
                <w:kern w:val="0"/>
                <w:sz w:val="18"/>
                <w:szCs w:val="18"/>
                <w:highlight w:val="none"/>
              </w:rPr>
              <w:t>按季度出具维保服务巡检报告和</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提供的《UPS维护保养记录表》，</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确认无误后双方签字确认。</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(6)每年根据</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要求出具一份对所有维保UPS的总体评估报告，包含设备主机和电池的现状，及给</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的具体建议等。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(7)供应商要求：须获得设备原厂家维保授权书及原厂售后服务承诺函。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(8)出现故障10分钟内做出响应，1小时内到达维修现场。一般问题应在6小时内解决，重大问题或其它无法迅速解决的问题应在</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日内解决。</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 xml:space="preserve">(9) 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1EC472F6">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台/年</w:t>
            </w:r>
          </w:p>
        </w:tc>
        <w:tc>
          <w:tcPr>
            <w:tcW w:w="302" w:type="pct"/>
            <w:noWrap w:val="0"/>
            <w:vAlign w:val="center"/>
          </w:tcPr>
          <w:p w14:paraId="52634A23">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317" w:type="pct"/>
            <w:noWrap w:val="0"/>
            <w:vAlign w:val="center"/>
          </w:tcPr>
          <w:p w14:paraId="4430E3A2">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1172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77" w:type="pct"/>
            <w:noWrap w:val="0"/>
            <w:vAlign w:val="center"/>
          </w:tcPr>
          <w:p w14:paraId="2A32EC4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393" w:type="pct"/>
            <w:noWrap w:val="0"/>
            <w:vAlign w:val="center"/>
          </w:tcPr>
          <w:p w14:paraId="4AC050E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12.5KW精密空调</w:t>
            </w:r>
          </w:p>
        </w:tc>
        <w:tc>
          <w:tcPr>
            <w:tcW w:w="357" w:type="pct"/>
            <w:noWrap w:val="0"/>
            <w:vAlign w:val="center"/>
          </w:tcPr>
          <w:p w14:paraId="3B9D512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维谛（原艾默生）</w:t>
            </w:r>
          </w:p>
        </w:tc>
        <w:tc>
          <w:tcPr>
            <w:tcW w:w="415" w:type="pct"/>
            <w:noWrap w:val="0"/>
            <w:vAlign w:val="center"/>
          </w:tcPr>
          <w:p w14:paraId="3F2E8E08">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DME12</w:t>
            </w:r>
          </w:p>
        </w:tc>
        <w:tc>
          <w:tcPr>
            <w:tcW w:w="2678" w:type="pct"/>
            <w:noWrap w:val="0"/>
            <w:vAlign w:val="center"/>
          </w:tcPr>
          <w:p w14:paraId="6654406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(1)提供精密空调的全维护，现场维修，故障涉及的所有器件更换设备常用备件保障；</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(3)提供7*24小时故障远程技术支持或现场维修等支持；</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(4)以上项目完成作业后，</w:t>
            </w:r>
            <w:r>
              <w:rPr>
                <w:rFonts w:hint="eastAsia" w:ascii="宋体" w:hAnsi="宋体" w:eastAsia="宋体" w:cs="宋体"/>
                <w:kern w:val="0"/>
                <w:sz w:val="18"/>
                <w:szCs w:val="18"/>
                <w:highlight w:val="none"/>
                <w:lang w:eastAsia="zh-CN"/>
              </w:rPr>
              <w:t>成交人</w:t>
            </w:r>
            <w:r>
              <w:rPr>
                <w:rFonts w:hint="eastAsia" w:ascii="宋体" w:hAnsi="宋体" w:eastAsia="宋体" w:cs="宋体"/>
                <w:kern w:val="0"/>
                <w:sz w:val="18"/>
                <w:szCs w:val="18"/>
                <w:highlight w:val="none"/>
              </w:rPr>
              <w:t>按季度出具维保服务巡检报告和</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提供的《精密空调维护保养记录表》，</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确认无误后双方签字确认。</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(5)每年根据</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要求出具一份对所有维保精密空调的总体评估报告，包含设备的室内机和室外机以及铜管管路的现状，及给</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的具体建议等。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(6)供应商要求：须获得设备原厂家维保授权书及原厂售后服务承诺函。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(7)出现故障10分钟内做出响应，1小时内到达维修现场。一般问题应在6小时内解决，重大问题或其它无法迅速解决的问题应在</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日内解决。</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6D9F6021">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台/年</w:t>
            </w:r>
          </w:p>
        </w:tc>
        <w:tc>
          <w:tcPr>
            <w:tcW w:w="302" w:type="pct"/>
            <w:noWrap w:val="0"/>
            <w:vAlign w:val="center"/>
          </w:tcPr>
          <w:p w14:paraId="55C9B9A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317" w:type="pct"/>
            <w:noWrap w:val="0"/>
            <w:vAlign w:val="center"/>
          </w:tcPr>
          <w:p w14:paraId="0B1884F4">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3719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7" w:type="pct"/>
            <w:noWrap w:val="0"/>
            <w:vAlign w:val="center"/>
          </w:tcPr>
          <w:p w14:paraId="19F58663">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393" w:type="pct"/>
            <w:noWrap w:val="0"/>
            <w:vAlign w:val="center"/>
          </w:tcPr>
          <w:p w14:paraId="57E081F0">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7.5KW精密空调</w:t>
            </w:r>
          </w:p>
        </w:tc>
        <w:tc>
          <w:tcPr>
            <w:tcW w:w="357" w:type="pct"/>
            <w:noWrap w:val="0"/>
            <w:vAlign w:val="center"/>
          </w:tcPr>
          <w:p w14:paraId="2C328DC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维谛（原艾默生）</w:t>
            </w:r>
          </w:p>
        </w:tc>
        <w:tc>
          <w:tcPr>
            <w:tcW w:w="415" w:type="pct"/>
            <w:noWrap w:val="0"/>
            <w:vAlign w:val="center"/>
          </w:tcPr>
          <w:p w14:paraId="779AE096">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DME07</w:t>
            </w:r>
          </w:p>
        </w:tc>
        <w:tc>
          <w:tcPr>
            <w:tcW w:w="2678" w:type="pct"/>
            <w:noWrap w:val="0"/>
            <w:vAlign w:val="center"/>
          </w:tcPr>
          <w:p w14:paraId="1ABC895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(1)提供精密空调的全维护，现场维修，故障涉及的所有器件更换设备常用备件保障；</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(3)提供7*24小时故障远程技术支持或现场维修等支持；</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(4)以上项目完成作业后，</w:t>
            </w:r>
            <w:r>
              <w:rPr>
                <w:rFonts w:hint="eastAsia" w:ascii="宋体" w:hAnsi="宋体" w:eastAsia="宋体" w:cs="宋体"/>
                <w:kern w:val="0"/>
                <w:sz w:val="18"/>
                <w:szCs w:val="18"/>
                <w:highlight w:val="none"/>
                <w:lang w:eastAsia="zh-CN"/>
              </w:rPr>
              <w:t>成交人</w:t>
            </w:r>
            <w:r>
              <w:rPr>
                <w:rFonts w:hint="eastAsia" w:ascii="宋体" w:hAnsi="宋体" w:eastAsia="宋体" w:cs="宋体"/>
                <w:kern w:val="0"/>
                <w:sz w:val="18"/>
                <w:szCs w:val="18"/>
                <w:highlight w:val="none"/>
              </w:rPr>
              <w:t>按季度出具维保服务巡检报告和</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提供的《精密空调维护保养记录表》，</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确认无误后双方签字确认。</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(5)每年根据</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要求出具一份对所有维保精密空调的总体评估报告，包含设备的室内机和室外机以及铜管管路的现状，及给</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的具体建议等。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(6)供应商要求：须获得设备原厂家维保授权书及原厂售后服务承诺函。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(7)出现故障10分钟内做出响应，1小时内到达维修现场。一般问题应在6小时内解决，重大问题或其它无法迅速解决的问题应在</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日内解决。</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 xml:space="preserve">(8) 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3AD0F79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台/年</w:t>
            </w:r>
          </w:p>
        </w:tc>
        <w:tc>
          <w:tcPr>
            <w:tcW w:w="302" w:type="pct"/>
            <w:noWrap w:val="0"/>
            <w:vAlign w:val="center"/>
          </w:tcPr>
          <w:p w14:paraId="398BAEB3">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317" w:type="pct"/>
            <w:noWrap w:val="0"/>
            <w:vAlign w:val="center"/>
          </w:tcPr>
          <w:p w14:paraId="1E4DE9EF">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7D67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8"/>
            <w:noWrap w:val="0"/>
            <w:vAlign w:val="center"/>
          </w:tcPr>
          <w:p w14:paraId="2FE492DF">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相思湖校区数据中心机房UPS、精密空调维保及维修部分</w:t>
            </w:r>
          </w:p>
        </w:tc>
      </w:tr>
      <w:tr w14:paraId="73F2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77" w:type="pct"/>
            <w:noWrap w:val="0"/>
            <w:vAlign w:val="center"/>
          </w:tcPr>
          <w:p w14:paraId="0D0AC28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393" w:type="pct"/>
            <w:noWrap w:val="0"/>
            <w:vAlign w:val="center"/>
          </w:tcPr>
          <w:p w14:paraId="1A5B6211">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12.5KW精密空调</w:t>
            </w:r>
          </w:p>
        </w:tc>
        <w:tc>
          <w:tcPr>
            <w:tcW w:w="357" w:type="pct"/>
            <w:noWrap w:val="0"/>
            <w:vAlign w:val="center"/>
          </w:tcPr>
          <w:p w14:paraId="2BF303A1">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维谛技术   （原艾默生）</w:t>
            </w:r>
          </w:p>
        </w:tc>
        <w:tc>
          <w:tcPr>
            <w:tcW w:w="415" w:type="pct"/>
            <w:noWrap w:val="0"/>
            <w:vAlign w:val="center"/>
          </w:tcPr>
          <w:p w14:paraId="48F23278">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DME12MHP1</w:t>
            </w:r>
          </w:p>
        </w:tc>
        <w:tc>
          <w:tcPr>
            <w:tcW w:w="2678" w:type="pct"/>
            <w:noWrap w:val="0"/>
            <w:vAlign w:val="center"/>
          </w:tcPr>
          <w:p w14:paraId="4878E52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(1)提供精密空调的全维护，现场维修，故障涉及的所有器件更换设备常用备件保障；</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(3)提供7*24小时故障远程技术支持或现场维修等支持；</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(4)以上项目完成作业后，</w:t>
            </w:r>
            <w:r>
              <w:rPr>
                <w:rFonts w:hint="eastAsia" w:ascii="宋体" w:hAnsi="宋体" w:eastAsia="宋体" w:cs="宋体"/>
                <w:kern w:val="0"/>
                <w:sz w:val="18"/>
                <w:szCs w:val="18"/>
                <w:highlight w:val="none"/>
                <w:lang w:eastAsia="zh-CN"/>
              </w:rPr>
              <w:t>成交人</w:t>
            </w:r>
            <w:r>
              <w:rPr>
                <w:rFonts w:hint="eastAsia" w:ascii="宋体" w:hAnsi="宋体" w:eastAsia="宋体" w:cs="宋体"/>
                <w:kern w:val="0"/>
                <w:sz w:val="18"/>
                <w:szCs w:val="18"/>
                <w:highlight w:val="none"/>
              </w:rPr>
              <w:t>按季度出具维保服务巡检报告和</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提供的《精密空调维护保养记录表》，</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确认无误后双方签字确认。</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(5)每年根据</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要求出具一份对所有维保精密空调的总体评估报告，包含设备的室内机和室外机以及铜管管路的现状，及给</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的具体建议等。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(6)供应商要求：须获得设备原厂家维保授权书及原厂售后服务承诺函。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(7)出现故障10分钟内做出响应，1小时内到达维修现场。一般问题应在6小时内解决，重大问题或其它无法迅速解决的问题应在</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日内解决。</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27AC7F5F">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台/年</w:t>
            </w:r>
          </w:p>
        </w:tc>
        <w:tc>
          <w:tcPr>
            <w:tcW w:w="302" w:type="pct"/>
            <w:noWrap w:val="0"/>
            <w:vAlign w:val="center"/>
          </w:tcPr>
          <w:p w14:paraId="11C62DB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317" w:type="pct"/>
            <w:noWrap w:val="0"/>
            <w:vAlign w:val="center"/>
          </w:tcPr>
          <w:p w14:paraId="6C18D73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05CB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177" w:type="pct"/>
            <w:noWrap w:val="0"/>
            <w:vAlign w:val="center"/>
          </w:tcPr>
          <w:p w14:paraId="2E85B0F7">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393" w:type="pct"/>
            <w:noWrap w:val="0"/>
            <w:vAlign w:val="center"/>
          </w:tcPr>
          <w:p w14:paraId="787B4DB8">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45KW精密空调</w:t>
            </w:r>
          </w:p>
        </w:tc>
        <w:tc>
          <w:tcPr>
            <w:tcW w:w="357" w:type="pct"/>
            <w:noWrap w:val="0"/>
            <w:vAlign w:val="center"/>
          </w:tcPr>
          <w:p w14:paraId="0732205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维谛技术   （原艾默生）</w:t>
            </w:r>
          </w:p>
        </w:tc>
        <w:tc>
          <w:tcPr>
            <w:tcW w:w="415" w:type="pct"/>
            <w:noWrap w:val="0"/>
            <w:vAlign w:val="center"/>
          </w:tcPr>
          <w:p w14:paraId="341A78B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P1050DA13JHL</w:t>
            </w:r>
          </w:p>
        </w:tc>
        <w:tc>
          <w:tcPr>
            <w:tcW w:w="2678" w:type="pct"/>
            <w:noWrap w:val="0"/>
            <w:vAlign w:val="center"/>
          </w:tcPr>
          <w:p w14:paraId="3032F0A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(1)提供精密空调的全维护，现场维修，故障涉及的所有器件更换设备常用备件保障；</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(3)提供7*24小时故障远程技术支持或现场维修等支持；</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(4)以上项目完成作业后，</w:t>
            </w:r>
            <w:r>
              <w:rPr>
                <w:rFonts w:hint="eastAsia" w:ascii="宋体" w:hAnsi="宋体" w:eastAsia="宋体" w:cs="宋体"/>
                <w:kern w:val="0"/>
                <w:sz w:val="18"/>
                <w:szCs w:val="18"/>
                <w:highlight w:val="none"/>
                <w:lang w:eastAsia="zh-CN"/>
              </w:rPr>
              <w:t>成交人</w:t>
            </w:r>
            <w:r>
              <w:rPr>
                <w:rFonts w:hint="eastAsia" w:ascii="宋体" w:hAnsi="宋体" w:eastAsia="宋体" w:cs="宋体"/>
                <w:kern w:val="0"/>
                <w:sz w:val="18"/>
                <w:szCs w:val="18"/>
                <w:highlight w:val="none"/>
              </w:rPr>
              <w:t>按季度出具维保服务巡检报告和</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提供的《精密空调维护保养记录表》，</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确认无误后双方签字确认。</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(5)每年根据</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要求出具一份对所有维保精密空调的总体评估报告，包含设备的室内机和室外机以及铜管管路的现状，及给</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的具体建议等。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(6)供应商要求：须获得设备原厂家维保授权书及原厂售后服务承诺函。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(7)出现故障10分钟内做出响应，1小时内到达维修现场。一般问题应在6小时内解决，重大问题或其它无法迅速解决的问题应在</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日内解决。</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691D2EC7">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台/年</w:t>
            </w:r>
          </w:p>
        </w:tc>
        <w:tc>
          <w:tcPr>
            <w:tcW w:w="302" w:type="pct"/>
            <w:noWrap w:val="0"/>
            <w:vAlign w:val="center"/>
          </w:tcPr>
          <w:p w14:paraId="68D1337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317" w:type="pct"/>
            <w:noWrap w:val="0"/>
            <w:vAlign w:val="center"/>
          </w:tcPr>
          <w:p w14:paraId="4AADBA4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396D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0" w:hRule="atLeast"/>
          <w:jc w:val="center"/>
        </w:trPr>
        <w:tc>
          <w:tcPr>
            <w:tcW w:w="177" w:type="pct"/>
            <w:noWrap w:val="0"/>
            <w:vAlign w:val="center"/>
          </w:tcPr>
          <w:p w14:paraId="678DD2C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393" w:type="pct"/>
            <w:noWrap w:val="0"/>
            <w:vAlign w:val="center"/>
          </w:tcPr>
          <w:p w14:paraId="194A86D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60KVA</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UPS</w:t>
            </w:r>
          </w:p>
        </w:tc>
        <w:tc>
          <w:tcPr>
            <w:tcW w:w="357" w:type="pct"/>
            <w:noWrap w:val="0"/>
            <w:vAlign w:val="center"/>
          </w:tcPr>
          <w:p w14:paraId="1E7D59C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维谛技术   （原艾默生）</w:t>
            </w:r>
          </w:p>
        </w:tc>
        <w:tc>
          <w:tcPr>
            <w:tcW w:w="415" w:type="pct"/>
            <w:noWrap w:val="0"/>
            <w:vAlign w:val="center"/>
          </w:tcPr>
          <w:p w14:paraId="08A328F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APM150</w:t>
            </w:r>
          </w:p>
        </w:tc>
        <w:tc>
          <w:tcPr>
            <w:tcW w:w="2678" w:type="pct"/>
            <w:noWrap w:val="0"/>
            <w:vAlign w:val="center"/>
          </w:tcPr>
          <w:p w14:paraId="68F68F5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(1)提供UPS电源电器柜及功率模块的全维护，现场维修，故障涉及的所有器件更换设备常用备件保障（不含蓄电池）；</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(2)每次巡检对大功率UPS、蓄电池组及电源输出柜进行一次联动功能测试，保证整体系统的正常切换。</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(3)对大功率UPS设备进行功能测试，通过专业技术测试各供电模块、配件的数据，若设备出现损坏或指标不达标时，在当天通过电话/邮件等方式反馈</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(4)对蓄电池组进行至少一次带载充放电功能测试，在巡检中如发现损坏及时通知</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暂停使用或者告知</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需重新采购新电池。</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(5)以上项目完成作业后，</w:t>
            </w:r>
            <w:r>
              <w:rPr>
                <w:rFonts w:hint="eastAsia" w:ascii="宋体" w:hAnsi="宋体" w:eastAsia="宋体" w:cs="宋体"/>
                <w:kern w:val="0"/>
                <w:sz w:val="18"/>
                <w:szCs w:val="18"/>
                <w:highlight w:val="none"/>
                <w:lang w:eastAsia="zh-CN"/>
              </w:rPr>
              <w:t>成交人</w:t>
            </w:r>
            <w:r>
              <w:rPr>
                <w:rFonts w:hint="eastAsia" w:ascii="宋体" w:hAnsi="宋体" w:eastAsia="宋体" w:cs="宋体"/>
                <w:kern w:val="0"/>
                <w:sz w:val="18"/>
                <w:szCs w:val="18"/>
                <w:highlight w:val="none"/>
              </w:rPr>
              <w:t>按季度出具维保服务巡检报告和</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提供的《UPS维护保养记录表》，</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确认无误后双方签字确认。</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(6)每年根据</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要求出具一份对所有维保UPS的总体评估报告，包含设备主机和电池的现状，及给</w:t>
            </w:r>
            <w:r>
              <w:rPr>
                <w:rFonts w:hint="eastAsia" w:ascii="宋体" w:hAnsi="宋体" w:eastAsia="宋体" w:cs="宋体"/>
                <w:kern w:val="0"/>
                <w:sz w:val="18"/>
                <w:szCs w:val="18"/>
                <w:highlight w:val="none"/>
                <w:lang w:eastAsia="zh-CN"/>
              </w:rPr>
              <w:t>采购人</w:t>
            </w:r>
            <w:r>
              <w:rPr>
                <w:rFonts w:hint="eastAsia" w:ascii="宋体" w:hAnsi="宋体" w:eastAsia="宋体" w:cs="宋体"/>
                <w:kern w:val="0"/>
                <w:sz w:val="18"/>
                <w:szCs w:val="18"/>
                <w:highlight w:val="none"/>
              </w:rPr>
              <w:t>的具体建议等。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(7)供应商要求：须获得设备原厂家维保授权书及原厂售后服务承诺函。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(8)出现故障10分钟内做出响应，1小时内到达维修现场。一般问题应在6小时内解决，重大问题或其它无法迅速解决的问题应在</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日内解决。</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 xml:space="preserve">(9) 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4606B4B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台/年</w:t>
            </w:r>
          </w:p>
        </w:tc>
        <w:tc>
          <w:tcPr>
            <w:tcW w:w="302" w:type="pct"/>
            <w:noWrap w:val="0"/>
            <w:vAlign w:val="center"/>
          </w:tcPr>
          <w:p w14:paraId="090D1C2C">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317" w:type="pct"/>
            <w:noWrap w:val="0"/>
            <w:vAlign w:val="center"/>
          </w:tcPr>
          <w:p w14:paraId="36E2A39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7BD1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7" w:type="pct"/>
            <w:noWrap w:val="0"/>
            <w:vAlign w:val="center"/>
          </w:tcPr>
          <w:p w14:paraId="78101642">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393" w:type="pct"/>
            <w:noWrap w:val="0"/>
            <w:vAlign w:val="center"/>
          </w:tcPr>
          <w:p w14:paraId="59A37D9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UPS功率模块更换</w:t>
            </w:r>
          </w:p>
        </w:tc>
        <w:tc>
          <w:tcPr>
            <w:tcW w:w="357" w:type="pct"/>
            <w:noWrap w:val="0"/>
            <w:vAlign w:val="center"/>
          </w:tcPr>
          <w:p w14:paraId="2727CB20">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维谛技术   （原艾默生）</w:t>
            </w:r>
          </w:p>
        </w:tc>
        <w:tc>
          <w:tcPr>
            <w:tcW w:w="415" w:type="pct"/>
            <w:noWrap w:val="0"/>
            <w:vAlign w:val="center"/>
          </w:tcPr>
          <w:p w14:paraId="26DDD6B8">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APM150</w:t>
            </w:r>
          </w:p>
        </w:tc>
        <w:tc>
          <w:tcPr>
            <w:tcW w:w="2678" w:type="pct"/>
            <w:noWrap w:val="0"/>
            <w:vAlign w:val="center"/>
          </w:tcPr>
          <w:p w14:paraId="41724521">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(1)对功率模块的全检查维护，更换机房内目前出现故障的两个UPS主功率模块，确保UPS能正常运行；</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(2)对更换好的功率模块参数重新设定调试，通过专业技术测试各供电模块、配件的数据，对大功率UPS设备进行功能测试；</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(3)对大功率UPS、蓄电池组及电源输出柜进行一次联动功能测试，保证整体系统的正常切换；</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(4)以上项目完成作业后，出具维修维保服务报告；</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(5)要求所有更换维修元器件须为原厂备品备件，提供设备原厂家维保授权书及原厂售后服务承诺函；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(6)维修更换后涉及设备参数系统的兼容及故障代码消除，技术服务工程师须原厂工程师（现场核查）；</w:t>
            </w:r>
          </w:p>
          <w:p w14:paraId="05C2D7C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(7)为保障设备日常维护和维修的及时性，投标人需具备备品备件保障能力，投标文件中须提供备件供应保障承诺函，明确储备方式、调配路径及责任主体，确保故障报修后，所需备件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596D921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302" w:type="pct"/>
            <w:noWrap w:val="0"/>
            <w:vAlign w:val="center"/>
          </w:tcPr>
          <w:p w14:paraId="5E8CE8D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317" w:type="pct"/>
            <w:noWrap w:val="0"/>
            <w:vAlign w:val="center"/>
          </w:tcPr>
          <w:p w14:paraId="4EAE5F9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33F4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177" w:type="pct"/>
            <w:noWrap w:val="0"/>
            <w:vAlign w:val="center"/>
          </w:tcPr>
          <w:p w14:paraId="0AB06616">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w:t>
            </w:r>
          </w:p>
        </w:tc>
        <w:tc>
          <w:tcPr>
            <w:tcW w:w="393" w:type="pct"/>
            <w:noWrap w:val="0"/>
            <w:vAlign w:val="center"/>
          </w:tcPr>
          <w:p w14:paraId="01FF39B9">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机房动环系统修复</w:t>
            </w:r>
          </w:p>
        </w:tc>
        <w:tc>
          <w:tcPr>
            <w:tcW w:w="357" w:type="pct"/>
            <w:noWrap w:val="0"/>
            <w:vAlign w:val="center"/>
          </w:tcPr>
          <w:p w14:paraId="289C6721">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维谛技术   （原艾默生）</w:t>
            </w:r>
          </w:p>
        </w:tc>
        <w:tc>
          <w:tcPr>
            <w:tcW w:w="415" w:type="pct"/>
            <w:noWrap w:val="0"/>
            <w:vAlign w:val="center"/>
          </w:tcPr>
          <w:p w14:paraId="18B550B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RDU-M</w:t>
            </w:r>
          </w:p>
        </w:tc>
        <w:tc>
          <w:tcPr>
            <w:tcW w:w="2678" w:type="pct"/>
            <w:noWrap w:val="0"/>
            <w:vAlign w:val="center"/>
          </w:tcPr>
          <w:p w14:paraId="44C9B2E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(1)对机房原动力环境监控系统及主机的全检查维护，对现有监控系统进行修复，确保动环系统能正常运行，及时掌握设备的运行情况；</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对监控系统中的精密空调、配电柜和多个温湿度传感器与监控系统的通讯失败诊断，维修恢复远程全面监控机房动力设备进行状态，实时侦测在线设备故障，能及时通知相关人员处理，提高供电系统的可靠性和通信设备的安全性；</w:t>
            </w:r>
          </w:p>
          <w:p w14:paraId="7C95310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(3)对电池组监控系统及模块的全检查维护，现场维修更换</w:t>
            </w:r>
          </w:p>
          <w:p w14:paraId="6FF9C94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(4)对模块传感器与监控系统的通讯失败诊断，维修恢复远程全面监控蓄电池组设备监测状态，实时侦测在线设备故障，能及时通知相关人员处理，提高供电系统的可性和通信设备的安全性;</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(5)对监控系统进行一次联动功能测试，保证整体系统的正常控制监测；</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(6)以上项目完成作业后，出具维修维保服务报告；</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(7)要求所有更换维修元器件及系统参数修复须为原厂备品备件，提供设备原厂家维保授权书及原厂售后服务承诺函；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(8)维修更换后涉及设备参数系统的兼容及故障代码消除，技术服务工程师须原厂工程师（现场核查）；</w:t>
            </w:r>
          </w:p>
          <w:p w14:paraId="542CFB5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(9)为保障设备日常维护和维修的及时性，投标人需具备备品备件保障能力，投标文件中须提供备件供应保障承诺函，明确储备方式、调配路径及责任主体，确保故障报修后，所需备件 </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小时内（紧急备件</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小时内）送达维修现场。</w:t>
            </w:r>
          </w:p>
        </w:tc>
        <w:tc>
          <w:tcPr>
            <w:tcW w:w="356" w:type="pct"/>
            <w:noWrap w:val="0"/>
            <w:vAlign w:val="center"/>
          </w:tcPr>
          <w:p w14:paraId="6B78ADD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w:t>
            </w:r>
          </w:p>
        </w:tc>
        <w:tc>
          <w:tcPr>
            <w:tcW w:w="302" w:type="pct"/>
            <w:noWrap w:val="0"/>
            <w:vAlign w:val="center"/>
          </w:tcPr>
          <w:p w14:paraId="4EE6951C">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317" w:type="pct"/>
            <w:noWrap w:val="0"/>
            <w:vAlign w:val="center"/>
          </w:tcPr>
          <w:p w14:paraId="60D7D4E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bl>
    <w:p w14:paraId="26A34ED3">
      <w:pPr>
        <w:spacing w:line="360" w:lineRule="auto"/>
        <w:ind w:firstLine="482" w:firstLineChars="200"/>
        <w:rPr>
          <w:rFonts w:hint="eastAsia" w:ascii="仿宋" w:hAnsi="仿宋" w:eastAsia="仿宋" w:cs="仿宋"/>
          <w:b/>
          <w:sz w:val="24"/>
          <w:highlight w:val="none"/>
        </w:rPr>
      </w:pPr>
    </w:p>
    <w:p w14:paraId="6627D656">
      <w:pPr>
        <w:spacing w:line="360" w:lineRule="exact"/>
        <w:ind w:firstLine="435"/>
        <w:rPr>
          <w:rFonts w:hint="eastAsia" w:ascii="宋体" w:hAnsi="宋体" w:eastAsia="宋体" w:cs="宋体"/>
          <w:b/>
          <w:sz w:val="21"/>
          <w:szCs w:val="21"/>
          <w:highlight w:val="none"/>
        </w:rPr>
      </w:pPr>
      <w:r>
        <w:rPr>
          <w:rFonts w:hint="eastAsia" w:ascii="宋体" w:hAnsi="宋体" w:eastAsia="宋体" w:cs="宋体"/>
          <w:b/>
          <w:sz w:val="21"/>
          <w:szCs w:val="21"/>
          <w:highlight w:val="none"/>
        </w:rPr>
        <w:t>六、付款方式</w:t>
      </w:r>
    </w:p>
    <w:p w14:paraId="391AF375">
      <w:pPr>
        <w:spacing w:line="360" w:lineRule="exact"/>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签订合同后</w:t>
      </w:r>
      <w:r>
        <w:rPr>
          <w:rFonts w:hint="eastAsia" w:ascii="宋体" w:hAnsi="宋体" w:eastAsia="宋体" w:cs="宋体"/>
          <w:color w:val="FF0000"/>
          <w:sz w:val="21"/>
          <w:szCs w:val="21"/>
          <w:highlight w:val="none"/>
        </w:rPr>
        <w:t>10</w:t>
      </w:r>
      <w:r>
        <w:rPr>
          <w:rFonts w:hint="eastAsia" w:ascii="宋体" w:hAnsi="宋体" w:eastAsia="宋体" w:cs="宋体"/>
          <w:sz w:val="21"/>
          <w:szCs w:val="21"/>
          <w:highlight w:val="none"/>
        </w:rPr>
        <w:t>个工作日内，凭乙方开具的6%全额服务发票，甲方向乙方支付合同金额100%维保款，乙方收到款项5个工作日内安排专业技术人员进行设备上门巡检服务。</w:t>
      </w:r>
    </w:p>
    <w:p w14:paraId="24BB510D">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七、违约责任</w:t>
      </w:r>
    </w:p>
    <w:p w14:paraId="2DF4922E">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（一）甲方无故逾期验收和办理价款支付手续的，甲方应按逾期付款总额每日万分之五向乙方支付违约金。</w:t>
      </w:r>
    </w:p>
    <w:p w14:paraId="6C4302E0">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乙方逾期完成维修、未按期提供服务的，乙方应合同价款总额每日千分之五向甲方支付违约金。逾期或未提供服务超过约定日期十个工作日不能完成的，甲方可解除本合同，并要求乙方退还相应合同款。乙方因逾期完成、未提供服务或因其他违约行为导致甲方解除合同的，乙方应向甲方支付合同价款百分之五的违约金。</w:t>
      </w:r>
    </w:p>
    <w:p w14:paraId="0989E5EF">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乙方所提供的维修、服务质量标准不符合合同规定及谈判采购文件规定标准的，甲方有权拒绝验收该服务，乙方愿意继续维修、提供服务但逾期完成的，按乙方逾期完成处理或提供服务。乙方拒绝按要求继续服务的，甲方可单方面解除合同。</w:t>
      </w:r>
    </w:p>
    <w:p w14:paraId="0C56CC8B">
      <w:pPr>
        <w:spacing w:line="360" w:lineRule="exact"/>
        <w:ind w:firstLine="422" w:firstLineChars="200"/>
        <w:rPr>
          <w:rFonts w:hint="eastAsia" w:ascii="宋体" w:hAnsi="宋体" w:eastAsia="宋体" w:cs="宋体"/>
          <w:b/>
          <w:sz w:val="21"/>
          <w:szCs w:val="21"/>
          <w:highlight w:val="none"/>
        </w:rPr>
      </w:pPr>
    </w:p>
    <w:p w14:paraId="70C1B679">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七、不可抗力事件处理</w:t>
      </w:r>
    </w:p>
    <w:p w14:paraId="1FAAC5B4">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（一）在合同有效期内，任何一方因不可抗力事件导致不能履行合同，则合同履行期可延长，其延长期与不可抗力影响期相同。</w:t>
      </w:r>
    </w:p>
    <w:p w14:paraId="380F8499">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（二）不可抗力事件发生后，应立即通知对方，并寄送有关权威机构出具的证明。</w:t>
      </w:r>
    </w:p>
    <w:p w14:paraId="2530AE40">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（三）不可抗力事件延续120天以上，双方应通过友好协商，确定是否继续履行合同。</w:t>
      </w:r>
    </w:p>
    <w:p w14:paraId="4B8C4B68">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八、争议的解决</w:t>
      </w:r>
    </w:p>
    <w:p w14:paraId="5F0601D8">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在履行合同过程中发生争议时，双方当事人协商解决，协商不成的，采用下列第</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种方法解决。</w:t>
      </w:r>
    </w:p>
    <w:p w14:paraId="03BCBC1A">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（一）提交南宁市仲裁委员会仲裁；</w:t>
      </w:r>
    </w:p>
    <w:p w14:paraId="25411BCA">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（二）依法向甲方所在地人民法院提起诉讼。</w:t>
      </w:r>
    </w:p>
    <w:p w14:paraId="623E4857">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九、合同生效及其它</w:t>
      </w:r>
    </w:p>
    <w:p w14:paraId="2F6AA7F6">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（一）合同经双方法定代表人或授权委托代理人签字并加盖单位公章后生效。</w:t>
      </w:r>
    </w:p>
    <w:p w14:paraId="126E00D5">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（二）合同执行中涉及采购资金和谈判采购内容修改或补充的，须经甲乙双方协商后，并签书面补充协议，方可作为主合同不可分割的一部分。</w:t>
      </w:r>
    </w:p>
    <w:p w14:paraId="2A3CA71B">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（三）附件</w:t>
      </w:r>
    </w:p>
    <w:p w14:paraId="0007FED2">
      <w:pPr>
        <w:spacing w:line="360" w:lineRule="exact"/>
        <w:ind w:firstLine="630" w:firstLineChars="300"/>
        <w:rPr>
          <w:rFonts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sz w:val="21"/>
          <w:szCs w:val="21"/>
          <w:highlight w:val="none"/>
        </w:rPr>
        <w:t>艾默生</w:t>
      </w:r>
      <w:r>
        <w:rPr>
          <w:rFonts w:ascii="宋体" w:hAnsi="宋体" w:eastAsia="宋体"/>
          <w:sz w:val="21"/>
          <w:szCs w:val="21"/>
          <w:highlight w:val="none"/>
        </w:rPr>
        <w:t>UPS</w:t>
      </w:r>
      <w:r>
        <w:rPr>
          <w:rFonts w:hint="eastAsia" w:ascii="宋体" w:hAnsi="宋体" w:eastAsia="宋体" w:cs="宋体"/>
          <w:sz w:val="21"/>
          <w:szCs w:val="21"/>
          <w:highlight w:val="none"/>
        </w:rPr>
        <w:t>设备巡检工作内容</w:t>
      </w:r>
    </w:p>
    <w:p w14:paraId="53338415">
      <w:pPr>
        <w:spacing w:line="360" w:lineRule="exact"/>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ascii="宋体" w:hAnsi="宋体" w:eastAsia="宋体" w:cs="宋体"/>
          <w:sz w:val="21"/>
          <w:szCs w:val="21"/>
          <w:highlight w:val="none"/>
        </w:rPr>
        <w:t>艾默生精密空调</w:t>
      </w:r>
      <w:r>
        <w:rPr>
          <w:rFonts w:hint="eastAsia" w:ascii="宋体" w:hAnsi="宋体" w:eastAsia="宋体" w:cs="宋体"/>
          <w:sz w:val="21"/>
          <w:szCs w:val="21"/>
          <w:highlight w:val="none"/>
        </w:rPr>
        <w:t>巡检工作内容</w:t>
      </w:r>
    </w:p>
    <w:p w14:paraId="5416502F">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（四）本合同未尽事宜，遵照《合同法》有关条文执行。</w:t>
      </w:r>
    </w:p>
    <w:p w14:paraId="192B9F64">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（五）本合同正本一式四份（甲方，乙方各执二份），具有同等法律效力，合同签订后生效。</w:t>
      </w:r>
    </w:p>
    <w:tbl>
      <w:tblPr>
        <w:tblStyle w:val="7"/>
        <w:tblW w:w="0" w:type="auto"/>
        <w:tblInd w:w="0" w:type="dxa"/>
        <w:tblLayout w:type="fixed"/>
        <w:tblCellMar>
          <w:top w:w="0" w:type="dxa"/>
          <w:left w:w="108" w:type="dxa"/>
          <w:bottom w:w="0" w:type="dxa"/>
          <w:right w:w="108" w:type="dxa"/>
        </w:tblCellMar>
      </w:tblPr>
      <w:tblGrid>
        <w:gridCol w:w="4264"/>
        <w:gridCol w:w="4264"/>
      </w:tblGrid>
      <w:tr w14:paraId="130AE75C">
        <w:tblPrEx>
          <w:tblCellMar>
            <w:top w:w="0" w:type="dxa"/>
            <w:left w:w="108" w:type="dxa"/>
            <w:bottom w:w="0" w:type="dxa"/>
            <w:right w:w="108" w:type="dxa"/>
          </w:tblCellMar>
        </w:tblPrEx>
        <w:tc>
          <w:tcPr>
            <w:tcW w:w="4264" w:type="dxa"/>
            <w:noWrap w:val="0"/>
            <w:vAlign w:val="top"/>
          </w:tcPr>
          <w:p w14:paraId="2D4B114E">
            <w:pPr>
              <w:pStyle w:val="3"/>
              <w:tabs>
                <w:tab w:val="right" w:pos="4048"/>
              </w:tabs>
              <w:spacing w:line="360" w:lineRule="exact"/>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t>甲方：广西艺术学院</w:t>
            </w:r>
          </w:p>
        </w:tc>
        <w:tc>
          <w:tcPr>
            <w:tcW w:w="4264" w:type="dxa"/>
            <w:noWrap w:val="0"/>
            <w:vAlign w:val="top"/>
          </w:tcPr>
          <w:p w14:paraId="6A038AF2">
            <w:pPr>
              <w:pStyle w:val="3"/>
              <w:spacing w:line="360" w:lineRule="exact"/>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t>乙方：</w:t>
            </w:r>
            <w:r>
              <w:rPr>
                <w:rFonts w:hint="eastAsia"/>
                <w:highlight w:val="none"/>
                <w:lang w:val="en-US" w:eastAsia="zh-CN"/>
              </w:rPr>
              <w:t xml:space="preserve"> </w:t>
            </w:r>
          </w:p>
        </w:tc>
      </w:tr>
    </w:tbl>
    <w:p w14:paraId="210AB5BD">
      <w:pPr>
        <w:pStyle w:val="3"/>
        <w:spacing w:line="360" w:lineRule="exact"/>
        <w:ind w:left="4935" w:hanging="4935" w:hangingChars="2350"/>
        <w:rPr>
          <w:rFonts w:hint="eastAsia" w:ascii="Times New Roman" w:hAnsi="Times New Roman" w:eastAsia="宋体"/>
          <w:szCs w:val="21"/>
          <w:highlight w:val="none"/>
          <w:lang w:eastAsia="zh-CN"/>
        </w:rPr>
      </w:pPr>
      <w:r>
        <w:rPr>
          <w:rFonts w:hint="eastAsia" w:ascii="Times New Roman" w:hAnsi="Times New Roman"/>
          <w:szCs w:val="21"/>
          <w:highlight w:val="none"/>
        </w:rPr>
        <w:t xml:space="preserve">地址：           </w:t>
      </w:r>
      <w:r>
        <w:rPr>
          <w:rFonts w:ascii="Times New Roman" w:hAnsi="Times New Roman"/>
          <w:szCs w:val="21"/>
          <w:highlight w:val="none"/>
        </w:rPr>
        <w:t xml:space="preserve">       </w:t>
      </w:r>
      <w:r>
        <w:rPr>
          <w:rFonts w:hint="eastAsia" w:ascii="Times New Roman" w:hAnsi="Times New Roman"/>
          <w:szCs w:val="21"/>
          <w:highlight w:val="none"/>
          <w:lang w:val="en-US" w:eastAsia="zh-CN"/>
        </w:rPr>
        <w:t xml:space="preserve">          </w:t>
      </w:r>
      <w:r>
        <w:rPr>
          <w:rFonts w:ascii="Times New Roman" w:hAnsi="Times New Roman"/>
          <w:szCs w:val="21"/>
          <w:highlight w:val="none"/>
        </w:rPr>
        <w:t xml:space="preserve"> </w:t>
      </w:r>
      <w:r>
        <w:rPr>
          <w:rFonts w:hint="eastAsia" w:ascii="Times New Roman" w:hAnsi="Times New Roman"/>
          <w:szCs w:val="21"/>
          <w:highlight w:val="none"/>
          <w:lang w:val="en-US" w:eastAsia="zh-CN"/>
        </w:rPr>
        <w:t xml:space="preserve">      </w:t>
      </w:r>
      <w:r>
        <w:rPr>
          <w:rFonts w:hint="eastAsia" w:ascii="Times New Roman" w:hAnsi="Times New Roman"/>
          <w:szCs w:val="21"/>
          <w:highlight w:val="none"/>
        </w:rPr>
        <w:t>地址：</w:t>
      </w:r>
      <w:r>
        <w:rPr>
          <w:rFonts w:hint="eastAsia"/>
          <w:highlight w:val="none"/>
          <w:lang w:val="en-US" w:eastAsia="zh-CN"/>
        </w:rPr>
        <w:t xml:space="preserve"> </w:t>
      </w:r>
    </w:p>
    <w:p w14:paraId="552E01E8">
      <w:pPr>
        <w:pStyle w:val="3"/>
        <w:spacing w:line="360" w:lineRule="exact"/>
        <w:rPr>
          <w:rFonts w:hint="eastAsia" w:ascii="Times New Roman" w:hAnsi="Times New Roman"/>
          <w:szCs w:val="21"/>
          <w:highlight w:val="none"/>
        </w:rPr>
      </w:pPr>
      <w:r>
        <w:rPr>
          <w:rFonts w:hint="eastAsia" w:ascii="Times New Roman" w:hAnsi="Times New Roman"/>
          <w:szCs w:val="21"/>
          <w:highlight w:val="none"/>
        </w:rPr>
        <w:t xml:space="preserve">授权代表人：         </w:t>
      </w:r>
      <w:r>
        <w:rPr>
          <w:rFonts w:ascii="Times New Roman" w:hAnsi="Times New Roman"/>
          <w:szCs w:val="21"/>
          <w:highlight w:val="none"/>
        </w:rPr>
        <w:t xml:space="preserve"> </w:t>
      </w:r>
      <w:r>
        <w:rPr>
          <w:rFonts w:hint="eastAsia" w:ascii="Times New Roman" w:hAnsi="Times New Roman"/>
          <w:szCs w:val="21"/>
          <w:highlight w:val="none"/>
        </w:rPr>
        <w:t xml:space="preserve">                   授权代表人：</w:t>
      </w:r>
    </w:p>
    <w:p w14:paraId="45F3A8F7">
      <w:pPr>
        <w:pStyle w:val="3"/>
        <w:spacing w:line="360" w:lineRule="exact"/>
        <w:rPr>
          <w:rFonts w:hint="eastAsia" w:ascii="Times New Roman" w:hAnsi="Times New Roman"/>
          <w:b/>
          <w:bCs/>
          <w:szCs w:val="21"/>
          <w:highlight w:val="none"/>
        </w:rPr>
      </w:pPr>
      <w:r>
        <w:rPr>
          <w:rFonts w:hint="eastAsia" w:ascii="Times New Roman" w:hAnsi="Times New Roman"/>
          <w:szCs w:val="21"/>
          <w:highlight w:val="none"/>
        </w:rPr>
        <w:t>电话：</w:t>
      </w:r>
      <w:r>
        <w:rPr>
          <w:rFonts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电话：</w:t>
      </w:r>
    </w:p>
    <w:p w14:paraId="1984D581">
      <w:pPr>
        <w:pStyle w:val="3"/>
        <w:spacing w:line="360" w:lineRule="exact"/>
        <w:rPr>
          <w:rFonts w:hint="eastAsia" w:ascii="Times New Roman" w:hAnsi="Times New Roman"/>
          <w:b/>
          <w:bCs/>
          <w:szCs w:val="21"/>
          <w:highlight w:val="none"/>
        </w:rPr>
      </w:pPr>
      <w:r>
        <w:rPr>
          <w:rFonts w:hint="eastAsia" w:ascii="Times New Roman" w:hAnsi="Times New Roman"/>
          <w:szCs w:val="21"/>
          <w:highlight w:val="none"/>
        </w:rPr>
        <w:t>传真：</w:t>
      </w:r>
      <w:r>
        <w:rPr>
          <w:rFonts w:hint="eastAsia"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传真：</w:t>
      </w:r>
    </w:p>
    <w:p w14:paraId="1E3F6F63">
      <w:pPr>
        <w:pStyle w:val="3"/>
        <w:spacing w:line="360" w:lineRule="exact"/>
        <w:rPr>
          <w:rFonts w:hint="eastAsia" w:ascii="Times New Roman" w:hAnsi="Times New Roman"/>
          <w:b/>
          <w:bCs/>
          <w:szCs w:val="21"/>
          <w:highlight w:val="none"/>
        </w:rPr>
      </w:pPr>
      <w:r>
        <w:rPr>
          <w:rFonts w:hint="eastAsia" w:ascii="Times New Roman" w:hAnsi="Times New Roman"/>
          <w:szCs w:val="21"/>
          <w:highlight w:val="none"/>
        </w:rPr>
        <w:t>邮政编码：</w:t>
      </w:r>
      <w:r>
        <w:rPr>
          <w:rFonts w:hint="eastAsia"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邮政编码：</w:t>
      </w:r>
    </w:p>
    <w:p w14:paraId="7AB77D29">
      <w:pPr>
        <w:pStyle w:val="3"/>
        <w:spacing w:line="360" w:lineRule="exact"/>
        <w:ind w:left="5040" w:hanging="5040" w:hangingChars="2400"/>
        <w:rPr>
          <w:rFonts w:hint="eastAsia" w:ascii="Times New Roman" w:hAnsi="Times New Roman"/>
          <w:b/>
          <w:bCs/>
          <w:szCs w:val="21"/>
          <w:highlight w:val="none"/>
        </w:rPr>
      </w:pPr>
      <w:r>
        <w:rPr>
          <w:rFonts w:hint="eastAsia" w:ascii="Times New Roman" w:hAnsi="Times New Roman"/>
          <w:szCs w:val="21"/>
          <w:highlight w:val="none"/>
        </w:rPr>
        <w:t>开户银行：</w:t>
      </w:r>
      <w:r>
        <w:rPr>
          <w:rFonts w:hint="eastAsia"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开户银行：</w:t>
      </w:r>
      <w:r>
        <w:rPr>
          <w:rFonts w:hint="eastAsia"/>
          <w:highlight w:val="none"/>
          <w:lang w:val="en-US" w:eastAsia="zh-CN"/>
        </w:rPr>
        <w:t xml:space="preserve"> </w:t>
      </w:r>
      <w:r>
        <w:rPr>
          <w:rFonts w:hint="eastAsia"/>
          <w:highlight w:val="none"/>
        </w:rPr>
        <w:t xml:space="preserve"> </w:t>
      </w:r>
    </w:p>
    <w:p w14:paraId="70E37AE6">
      <w:pPr>
        <w:pStyle w:val="3"/>
        <w:spacing w:line="360" w:lineRule="exact"/>
        <w:rPr>
          <w:rFonts w:hint="eastAsia" w:ascii="Times New Roman" w:hAnsi="Times New Roman" w:eastAsia="宋体"/>
          <w:szCs w:val="21"/>
          <w:highlight w:val="none"/>
          <w:lang w:eastAsia="zh-CN"/>
        </w:rPr>
      </w:pPr>
      <w:r>
        <w:rPr>
          <w:rFonts w:hint="eastAsia" w:ascii="Times New Roman" w:hAnsi="Times New Roman"/>
          <w:szCs w:val="21"/>
          <w:highlight w:val="none"/>
        </w:rPr>
        <w:t xml:space="preserve">账号： </w:t>
      </w:r>
      <w:r>
        <w:rPr>
          <w:b/>
          <w:color w:val="000000"/>
          <w:kern w:val="0"/>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账号：</w:t>
      </w:r>
      <w:r>
        <w:rPr>
          <w:rFonts w:hint="eastAsia"/>
          <w:highlight w:val="none"/>
          <w:lang w:val="en-US" w:eastAsia="zh-CN"/>
        </w:rPr>
        <w:t xml:space="preserve"> </w:t>
      </w:r>
    </w:p>
    <w:p w14:paraId="2775B72D">
      <w:pPr>
        <w:pStyle w:val="3"/>
        <w:spacing w:line="360" w:lineRule="exact"/>
        <w:jc w:val="left"/>
        <w:rPr>
          <w:rFonts w:hint="eastAsia" w:hAnsi="宋体"/>
          <w:szCs w:val="21"/>
          <w:highlight w:val="none"/>
        </w:rPr>
      </w:pPr>
      <w:r>
        <w:rPr>
          <w:rFonts w:hint="eastAsia" w:hAnsi="宋体"/>
          <w:szCs w:val="21"/>
          <w:highlight w:val="none"/>
        </w:rPr>
        <w:t>授权委托代理人（签字）：                 授权委托代理人（签字）：</w:t>
      </w:r>
    </w:p>
    <w:p w14:paraId="2E772A31">
      <w:pPr>
        <w:pStyle w:val="3"/>
        <w:spacing w:line="360" w:lineRule="exact"/>
        <w:jc w:val="left"/>
        <w:rPr>
          <w:rFonts w:hint="eastAsia" w:hAnsi="宋体"/>
          <w:szCs w:val="21"/>
          <w:highlight w:val="none"/>
          <w:u w:val="single"/>
        </w:rPr>
      </w:pPr>
      <w:r>
        <w:rPr>
          <w:rFonts w:hint="eastAsia" w:hAnsi="宋体"/>
          <w:szCs w:val="21"/>
          <w:highlight w:val="none"/>
          <w:u w:val="single"/>
        </w:rPr>
        <w:t xml:space="preserve">                          </w:t>
      </w:r>
      <w:r>
        <w:rPr>
          <w:rFonts w:hint="eastAsia" w:hAnsi="宋体"/>
          <w:szCs w:val="21"/>
          <w:highlight w:val="none"/>
        </w:rPr>
        <w:t xml:space="preserve">               </w:t>
      </w:r>
      <w:r>
        <w:rPr>
          <w:rFonts w:hint="eastAsia" w:hAnsi="宋体"/>
          <w:szCs w:val="21"/>
          <w:highlight w:val="none"/>
          <w:u w:val="single"/>
        </w:rPr>
        <w:t xml:space="preserve">                         </w:t>
      </w:r>
    </w:p>
    <w:p w14:paraId="458119D3">
      <w:pPr>
        <w:pStyle w:val="3"/>
        <w:spacing w:line="460" w:lineRule="exact"/>
        <w:rPr>
          <w:rFonts w:hint="eastAsia"/>
          <w:szCs w:val="21"/>
          <w:highlight w:val="none"/>
        </w:rPr>
      </w:pPr>
      <w:r>
        <w:rPr>
          <w:rFonts w:hint="eastAsia"/>
          <w:szCs w:val="21"/>
          <w:highlight w:val="none"/>
        </w:rPr>
        <w:t>签订地点：广西南宁市       签订日期：</w:t>
      </w:r>
      <w:r>
        <w:rPr>
          <w:szCs w:val="21"/>
          <w:highlight w:val="none"/>
        </w:rPr>
        <w:t xml:space="preserve">   </w:t>
      </w:r>
      <w:r>
        <w:rPr>
          <w:rFonts w:hint="eastAsia"/>
          <w:szCs w:val="21"/>
          <w:highlight w:val="none"/>
        </w:rPr>
        <w:t xml:space="preserve">  年   月    日</w:t>
      </w:r>
    </w:p>
    <w:p w14:paraId="5C6FD67C">
      <w:pPr>
        <w:snapToGrid w:val="0"/>
        <w:spacing w:line="360" w:lineRule="auto"/>
        <w:ind w:left="0" w:leftChars="0" w:firstLine="0" w:firstLineChars="0"/>
        <w:jc w:val="both"/>
        <w:rPr>
          <w:rFonts w:hint="eastAsia" w:ascii="仿宋" w:hAnsi="仿宋" w:eastAsia="仿宋" w:cs="仿宋_GB2312"/>
          <w:kern w:val="0"/>
          <w:sz w:val="22"/>
          <w:highlight w:val="none"/>
          <w:lang w:val="en-US" w:eastAsia="zh-CN"/>
        </w:rPr>
      </w:pPr>
    </w:p>
    <w:sectPr>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ED70">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5BC315">
                          <w:pPr>
                            <w:pStyle w:val="4"/>
                          </w:pPr>
                          <w:r>
                            <w:rPr>
                              <w:rFonts w:hint="eastAsia"/>
                            </w:rPr>
                            <w:fldChar w:fldCharType="begin"/>
                          </w:r>
                          <w:r>
                            <w:rPr>
                              <w:rFonts w:hint="eastAsia"/>
                            </w:rPr>
                            <w:instrText xml:space="preserve"> PAGE  \* MERGEFORMAT </w:instrText>
                          </w:r>
                          <w:r>
                            <w:rPr>
                              <w:rFonts w:hint="eastAsia"/>
                            </w:rPr>
                            <w:fldChar w:fldCharType="separate"/>
                          </w:r>
                          <w:r>
                            <w:t>185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0p704MQIAAGMEAAAOAAAAAAAAAAEAIAAAAB8BAABkcnMvZTJvRG9jLnhtbFBLBQYA&#10;AAAABgAGAFkBAADCBQAAAAA=&#10;">
              <v:fill on="f" focussize="0,0"/>
              <v:stroke on="f" weight="0.5pt"/>
              <v:imagedata o:title=""/>
              <o:lock v:ext="edit" aspectratio="f"/>
              <v:textbox inset="0mm,0mm,0mm,0mm" style="mso-fit-shape-to-text:t;">
                <w:txbxContent>
                  <w:p w14:paraId="555BC315">
                    <w:pPr>
                      <w:pStyle w:val="4"/>
                    </w:pPr>
                    <w:r>
                      <w:rPr>
                        <w:rFonts w:hint="eastAsia"/>
                      </w:rPr>
                      <w:fldChar w:fldCharType="begin"/>
                    </w:r>
                    <w:r>
                      <w:rPr>
                        <w:rFonts w:hint="eastAsia"/>
                      </w:rPr>
                      <w:instrText xml:space="preserve"> PAGE  \* MERGEFORMAT </w:instrText>
                    </w:r>
                    <w:r>
                      <w:rPr>
                        <w:rFonts w:hint="eastAsia"/>
                      </w:rPr>
                      <w:fldChar w:fldCharType="separate"/>
                    </w:r>
                    <w:r>
                      <w:t>185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0A45D"/>
    <w:multiLevelType w:val="singleLevel"/>
    <w:tmpl w:val="5270A4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E44D5"/>
    <w:rsid w:val="074265FF"/>
    <w:rsid w:val="10C06068"/>
    <w:rsid w:val="10D53758"/>
    <w:rsid w:val="1165797B"/>
    <w:rsid w:val="12C81DAF"/>
    <w:rsid w:val="1CF8058F"/>
    <w:rsid w:val="1CFF650B"/>
    <w:rsid w:val="28FC0089"/>
    <w:rsid w:val="2C2575C1"/>
    <w:rsid w:val="2F387102"/>
    <w:rsid w:val="2FFE7430"/>
    <w:rsid w:val="353811CC"/>
    <w:rsid w:val="3E6B6AA7"/>
    <w:rsid w:val="3FA13D9F"/>
    <w:rsid w:val="45A524DB"/>
    <w:rsid w:val="50BC64E9"/>
    <w:rsid w:val="52AD557B"/>
    <w:rsid w:val="59441837"/>
    <w:rsid w:val="59C60694"/>
    <w:rsid w:val="60AA4718"/>
    <w:rsid w:val="69CC6880"/>
    <w:rsid w:val="6AA07C6F"/>
    <w:rsid w:val="6B6B3064"/>
    <w:rsid w:val="736C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eastAsia="宋体"/>
      <w:sz w:val="21"/>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12314</Words>
  <Characters>13072</Characters>
  <Lines>0</Lines>
  <Paragraphs>0</Paragraphs>
  <TotalTime>5</TotalTime>
  <ScaleCrop>false</ScaleCrop>
  <LinksUpToDate>false</LinksUpToDate>
  <CharactersWithSpaces>13552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2025-11-18T03:26:00Z</dcterms:created>
  <dc:creator>Lenovo</dc:creator>
  <cp:lastModifiedBy>Gao</cp:lastModifiedBy>
  <dcterms:modified xsi:type="dcterms:W3CDTF">2025-11-25T00:37:04Z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eyJoZGlkIjoiNDg1MWEwZTQ3YzY5MDQyNzg0OTEwMGU2MDMxMDQyZGYiLCJ1c2VySWQiOiIyOTc5NjgzMzQifQ==</vt:lpwstr>
  </property>
  <property fmtid="{D5CDD505-2E9C-101B-9397-08002B2CF9AE}" pid="4" name="ICV">
    <vt:lpwstr>6B811DE4BB414CA9B942CE8F1258194F_13</vt:lpwstr>
  </property>
</Properties>
</file>