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adjustRightInd w:val="0"/>
        <w:snapToGri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</w:p>
    <w:p>
      <w:pPr>
        <w:tabs>
          <w:tab w:val="left" w:pos="1680"/>
        </w:tabs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电梯维护保养服务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需求</w:t>
      </w:r>
    </w:p>
    <w:p>
      <w:pPr>
        <w:tabs>
          <w:tab w:val="left" w:pos="1680"/>
        </w:tabs>
        <w:adjustRightInd w:val="0"/>
        <w:snapToGrid w:val="0"/>
        <w:spacing w:line="336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应具备独立法人资格和具有质量监督主管部门颁发的有效《中华人民共和国特种设备安装改造维修许可证》（电梯）安装、改造、维修资质，且经营范围满足本业务需求。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保证指派具备相应专业技能的持证人员实施维保作业。</w:t>
      </w:r>
    </w:p>
    <w:p>
      <w:pPr>
        <w:tabs>
          <w:tab w:val="left" w:pos="1680"/>
        </w:tabs>
        <w:adjustRightInd w:val="0"/>
        <w:snapToGrid w:val="0"/>
        <w:spacing w:line="336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二、保证电梯安全运行。在保证电梯安全运行的前提下满足正常生产、生活的需要，并保证能够通过有关部门的定期检验。</w:t>
      </w:r>
    </w:p>
    <w:p>
      <w:pPr>
        <w:tabs>
          <w:tab w:val="left" w:pos="1680"/>
        </w:tabs>
        <w:adjustRightInd w:val="0"/>
        <w:snapToGrid w:val="0"/>
        <w:spacing w:line="336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三、在保证电梯安全运行的前提下降低电梯维护保养成本。</w:t>
      </w:r>
    </w:p>
    <w:p>
      <w:pPr>
        <w:tabs>
          <w:tab w:val="left" w:pos="1680"/>
        </w:tabs>
        <w:adjustRightInd w:val="0"/>
        <w:snapToGrid w:val="0"/>
        <w:spacing w:line="336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、日常维护保养应遵守的标准：</w:t>
      </w:r>
    </w:p>
    <w:p>
      <w:pPr>
        <w:pStyle w:val="4"/>
        <w:adjustRightInd w:val="0"/>
        <w:snapToGrid w:val="0"/>
        <w:spacing w:before="0" w:beforeAutospacing="0" w:after="0" w:afterAutospacing="0" w:line="336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电梯维修保养规则（T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SG 5002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；②《特种设备使用管理规则（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SG 08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）》；③南宁市电梯安全监察办法；④《电梯日常维护保养规范》（D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B45/681-2010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）；⑤《电梯、自动扶梯和自动人行道维修规范》；⑥电梯安装使用维护说明书；⑦《电梯监督检验和定期检验规则-曳引与强制驱动电梯》及第1、2、3号修改单（T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SG T7001-2009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）；⑧维保合同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五、对所维保电梯的保养计划书。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提供24小时的应急响应服务，且能在接到故障或事故报警后30分钟内到达现场，并能提供正常连续的服务直至故障或事故排除。对电梯困人事故要求在到达现场后10分钟内把乘客从轿厢中救出、对非电子板原因的常见故障要求在60分钟内排除，如果报修故障在1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小时内不能修复，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应将设备故障以及原因以书面告知相关人员，并尽快恢复。对电子板原因的故障应在普遍认可的时间内解决。因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自身原因超过上述时间要求响应或解决故障的，每出现一次按维保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项目合同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款的1%承担违约金，延误超过3日或同一故障维修3次仍不能解决的，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有权聘请其他单位完成，由此产生的费用由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承担。经正常保养的电梯不能通过有关部门的定期检验的，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无条件立即返工并承担费用。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举办重大活动时，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要求，免费派出专业技术人员到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指定校区进行驻守并按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需求进行控梯，合同期内不超过3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人次驻场控梯，但必须能达到单次可派驻8名以上技术人员。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八、维保采用固定价格，包工包料（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中标人的投标文件清单未罗列的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零配件除外，但必须包含符合国家相关强制性标准的电梯运行轨道润滑油），合同期内不作调整。施工现场及管理应符合相关文明安全施工规范，否则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应承担由此产生的经济损失及责任。若能提供在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相思湖校区上班时间定点服务（食宿自理）的，请说明。</w:t>
      </w:r>
    </w:p>
    <w:p>
      <w:pPr>
        <w:pStyle w:val="4"/>
        <w:adjustRightInd w:val="0"/>
        <w:snapToGrid w:val="0"/>
        <w:spacing w:before="0" w:beforeAutospacing="0" w:after="0" w:afterAutospacing="0" w:line="336" w:lineRule="auto"/>
        <w:rPr>
          <w:rFonts w:asciiTheme="minorEastAsia" w:hAnsiTheme="minorEastAsia" w:eastAsiaTheme="minorEastAsia" w:cstheme="minorEastAsia"/>
          <w:color w:val="7030A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九、电梯维修时所需更换的零配件，必须是全新合格且符合国家相关强制性标准的零配件（原厂件优先），单月维修费用在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元（含）以内的，由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承担；费用超过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元的，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按中标人投标文件罗列清单下浮的价格进行更换；采购需求文件清单罗列以外的配件，中标人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须按供应用户配件零售价格的9折待遇提供。对更换下来的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器件应由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保管或由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共同销毁。</w:t>
      </w:r>
    </w:p>
    <w:p>
      <w:pPr>
        <w:pStyle w:val="4"/>
        <w:adjustRightInd w:val="0"/>
        <w:snapToGrid w:val="0"/>
        <w:spacing w:before="0" w:beforeAutospacing="0" w:after="0" w:afterAutospacing="0" w:line="336" w:lineRule="auto"/>
        <w:ind w:firstLine="560" w:firstLineChars="20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十、在日常维护保养期届满时，须经法定定期检验并无因维护保养原因的不合格项目存在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否则由此造成的损失由中标人承担。</w:t>
      </w:r>
    </w:p>
    <w:p>
      <w:pPr>
        <w:pStyle w:val="4"/>
        <w:adjustRightInd w:val="0"/>
        <w:snapToGrid w:val="0"/>
        <w:spacing w:before="0" w:beforeAutospacing="0" w:after="0" w:afterAutospacing="0" w:line="336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十一、如因使用不当造成电梯故障或损坏，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有责任负责及时将其修复或更换，使电梯恢复安全、正常运行，费用双方另行协商确定。</w:t>
      </w:r>
    </w:p>
    <w:p>
      <w:pPr>
        <w:pStyle w:val="4"/>
        <w:adjustRightInd w:val="0"/>
        <w:snapToGrid w:val="0"/>
        <w:spacing w:before="0" w:beforeAutospacing="0" w:after="0" w:afterAutospacing="0" w:line="336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保留是否签署续签保养合同的权力。</w:t>
      </w:r>
    </w:p>
    <w:p>
      <w:pPr>
        <w:adjustRightInd w:val="0"/>
        <w:snapToGrid w:val="0"/>
        <w:spacing w:line="336" w:lineRule="auto"/>
        <w:ind w:firstLine="57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十三、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负责组织广西区特种设备监督检验院进行电梯年检，并于年检前3个月告知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年检准备事宜。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十四、每年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中标人须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请电梯专业高级工程师对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电梯人员进行一次专业培训，并负责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采购人2名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电梯管理人员相关电梯证件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考核及年审的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费用。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60" w:firstLineChars="200"/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十五、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须有上海三菱、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东芝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品牌电梯的维保经验（附相关合同复印件）。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十六、维保电梯信息、常用配件清单及市场参考价：</w:t>
      </w:r>
    </w:p>
    <w:p>
      <w:pPr>
        <w:pStyle w:val="4"/>
        <w:spacing w:line="380" w:lineRule="exact"/>
        <w:jc w:val="both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9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626"/>
        <w:gridCol w:w="885"/>
        <w:gridCol w:w="1050"/>
        <w:gridCol w:w="945"/>
        <w:gridCol w:w="1125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梯号</w:t>
            </w: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品牌型号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速度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层站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服务期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（m</w:t>
            </w:r>
            <w:r>
              <w:rPr>
                <w:b/>
                <w:szCs w:val="21"/>
              </w:rPr>
              <w:t>/s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（站/门）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（台）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（月）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#-4#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三菱L</w:t>
            </w:r>
            <w:r>
              <w:rPr>
                <w:szCs w:val="21"/>
              </w:rPr>
              <w:t>EGY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.75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8/18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195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相思湖校区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#-20#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三菱L</w:t>
            </w:r>
            <w:r>
              <w:rPr>
                <w:szCs w:val="21"/>
              </w:rPr>
              <w:t>EGY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.75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4/14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195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相思湖校区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#-3#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东芝快速梯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3/33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95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南湖校区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626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8</w:t>
            </w:r>
          </w:p>
        </w:tc>
        <w:tc>
          <w:tcPr>
            <w:tcW w:w="1955" w:type="dxa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540" w:type="dxa"/>
            <w:gridSpan w:val="7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维保费用报价须</w:t>
            </w:r>
            <w:r>
              <w:rPr>
                <w:rFonts w:hint="eastAsia"/>
                <w:b/>
                <w:sz w:val="24"/>
                <w:szCs w:val="24"/>
              </w:rPr>
              <w:t>包含6</w:t>
            </w:r>
            <w:r>
              <w:rPr>
                <w:b/>
                <w:sz w:val="24"/>
                <w:szCs w:val="24"/>
              </w:rPr>
              <w:t>%</w:t>
            </w:r>
            <w:r>
              <w:rPr>
                <w:rFonts w:hint="eastAsia"/>
                <w:b/>
                <w:sz w:val="24"/>
                <w:szCs w:val="24"/>
              </w:rPr>
              <w:t>增值税费。</w:t>
            </w:r>
          </w:p>
        </w:tc>
      </w:tr>
    </w:tbl>
    <w:tbl>
      <w:tblPr>
        <w:tblStyle w:val="8"/>
        <w:tblpPr w:leftFromText="180" w:rightFromText="180" w:vertAnchor="page" w:horzAnchor="page" w:tblpX="1845" w:tblpY="7561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161"/>
        <w:gridCol w:w="2124"/>
        <w:gridCol w:w="13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</w:tcPr>
          <w:p>
            <w:pPr>
              <w:spacing w:line="344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品牌型号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市场参考</w:t>
            </w:r>
            <w:r>
              <w:rPr>
                <w:rFonts w:hint="eastAsia"/>
                <w:b/>
              </w:rPr>
              <w:t>价</w:t>
            </w:r>
          </w:p>
        </w:tc>
        <w:tc>
          <w:tcPr>
            <w:tcW w:w="1980" w:type="dxa"/>
          </w:tcPr>
          <w:p>
            <w:pPr>
              <w:spacing w:line="344" w:lineRule="exact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下浮比例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光幕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4800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restart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电梯导轨油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18L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435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6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DC-AC电源模块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280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光电传感器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三角锁芯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显示器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1450元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主板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9800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信号板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4500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驱动板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3950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驱动模块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6690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抱闸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 xml:space="preserve">3900 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61" w:type="dxa"/>
          </w:tcPr>
          <w:p>
            <w:pPr>
              <w:spacing w:line="344" w:lineRule="exact"/>
              <w:ind w:firstLine="630" w:firstLineChars="3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电源板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210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压力传感器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1800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限速器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5900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限速器开关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280</w:t>
            </w:r>
            <w:r>
              <w:rPr>
                <w:rFonts w:hint="eastAsia"/>
              </w:rPr>
              <w:t>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微动开关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闸瓦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500元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编码器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000元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互感器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门机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门机板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较顶检修盒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安全钳开关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350元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较顶警铃组件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150元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厅门主门锁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厅门副门锁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150元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61" w:type="dxa"/>
          </w:tcPr>
          <w:p>
            <w:pPr>
              <w:spacing w:line="344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按钮</w:t>
            </w:r>
          </w:p>
        </w:tc>
        <w:tc>
          <w:tcPr>
            <w:tcW w:w="2124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380" w:type="dxa"/>
          </w:tcPr>
          <w:p>
            <w:pPr>
              <w:spacing w:line="344" w:lineRule="exact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70元</w:t>
            </w:r>
          </w:p>
        </w:tc>
        <w:tc>
          <w:tcPr>
            <w:tcW w:w="1980" w:type="dxa"/>
            <w:vMerge w:val="continue"/>
          </w:tcPr>
          <w:p>
            <w:pPr>
              <w:spacing w:line="344" w:lineRule="exact"/>
              <w:jc w:val="center"/>
            </w:pPr>
          </w:p>
        </w:tc>
      </w:tr>
    </w:tbl>
    <w:tbl>
      <w:tblPr>
        <w:tblStyle w:val="8"/>
        <w:tblpPr w:leftFromText="180" w:rightFromText="180" w:vertAnchor="page" w:horzAnchor="page" w:tblpX="1845" w:tblpY="2871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145"/>
        <w:gridCol w:w="2146"/>
        <w:gridCol w:w="1455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超载开关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400元</w:t>
            </w:r>
          </w:p>
        </w:tc>
        <w:tc>
          <w:tcPr>
            <w:tcW w:w="1884" w:type="dxa"/>
            <w:vMerge w:val="restart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CPU基板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厅门挂板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50元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</w:t>
            </w:r>
            <w:r>
              <w:rPr>
                <w:rFonts w:hint="eastAsia"/>
              </w:rPr>
              <w:t>接触器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接触器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轿顶灯座组件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50元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电梯专用钢丝绳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8mm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快速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元/米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电梯专用钢丝绳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10mm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快速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元/米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位置光电开关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门机皮带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门机皮带轮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145" w:type="dxa"/>
            <w:vAlign w:val="top"/>
          </w:tcPr>
          <w:p>
            <w:pPr>
              <w:spacing w:line="344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轿厢风扇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导靴组件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行程开关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减速开关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平层感应器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900</w:t>
            </w:r>
            <w:r>
              <w:rPr>
                <w:rFonts w:hint="eastAsia"/>
              </w:rPr>
              <w:t>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井道限位</w:t>
            </w:r>
            <w:r>
              <w:rPr>
                <w:rFonts w:hint="eastAsia"/>
                <w:lang w:val="en-US" w:eastAsia="zh-CN"/>
              </w:rPr>
              <w:t>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370元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应急电源组件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楼层显示</w:t>
            </w:r>
            <w:r>
              <w:rPr>
                <w:rFonts w:hint="eastAsia"/>
                <w:lang w:val="en-US" w:eastAsia="zh-CN"/>
              </w:rPr>
              <w:t>板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30元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外呼显示板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>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门钩组件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280</w:t>
            </w:r>
            <w:r>
              <w:rPr>
                <w:rFonts w:hint="eastAsia"/>
              </w:rPr>
              <w:t>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继电器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反绳轮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6500</w:t>
            </w:r>
            <w:r>
              <w:rPr>
                <w:rFonts w:hint="eastAsia"/>
              </w:rPr>
              <w:t>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曳引轮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7500</w:t>
            </w:r>
            <w:r>
              <w:rPr>
                <w:rFonts w:hint="eastAsia"/>
              </w:rPr>
              <w:t>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导向轮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6500</w:t>
            </w:r>
            <w:r>
              <w:rPr>
                <w:rFonts w:hint="eastAsia"/>
              </w:rPr>
              <w:t>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电容组件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安全触板微动开关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底坑安全开关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底坑话机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底坑通话装置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45" w:type="dxa"/>
            <w:vAlign w:val="top"/>
          </w:tcPr>
          <w:p>
            <w:pPr>
              <w:ind w:firstLine="630" w:firstLineChars="3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缓冲器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50元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缓冲器开关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45" w:type="dxa"/>
            <w:vAlign w:val="top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底坑急停开关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涨紧轮组件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50元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涨紧轮开关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补偿链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  <w:lang w:val="en-US" w:eastAsia="zh-CN"/>
              </w:rPr>
              <w:t>/米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(称量)匹配器</w:t>
            </w:r>
          </w:p>
        </w:tc>
        <w:tc>
          <w:tcPr>
            <w:tcW w:w="2146" w:type="dxa"/>
            <w:vAlign w:val="top"/>
          </w:tcPr>
          <w:p>
            <w:pPr>
              <w:spacing w:line="344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东芝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快速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00元</w:t>
            </w:r>
          </w:p>
        </w:tc>
        <w:tc>
          <w:tcPr>
            <w:tcW w:w="1884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spacing w:line="38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spacing w:line="38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spacing w:line="38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spacing w:line="38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spacing w:line="380" w:lineRule="exact"/>
        <w:ind w:left="309" w:leftChars="147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000000"/>
    <w:rsid w:val="01182CA1"/>
    <w:rsid w:val="01540370"/>
    <w:rsid w:val="022B4806"/>
    <w:rsid w:val="02EB3DD0"/>
    <w:rsid w:val="063D7B4A"/>
    <w:rsid w:val="06DA2420"/>
    <w:rsid w:val="073A4E93"/>
    <w:rsid w:val="08E72680"/>
    <w:rsid w:val="09462061"/>
    <w:rsid w:val="09E65669"/>
    <w:rsid w:val="0BE20DB9"/>
    <w:rsid w:val="0DAE3C26"/>
    <w:rsid w:val="0DE436A4"/>
    <w:rsid w:val="110849AE"/>
    <w:rsid w:val="116847B5"/>
    <w:rsid w:val="13AB004E"/>
    <w:rsid w:val="16BD47EB"/>
    <w:rsid w:val="184B033B"/>
    <w:rsid w:val="18FC210A"/>
    <w:rsid w:val="1C7278AC"/>
    <w:rsid w:val="1DB83859"/>
    <w:rsid w:val="1EF463F2"/>
    <w:rsid w:val="21F726B1"/>
    <w:rsid w:val="226E2973"/>
    <w:rsid w:val="247E0BA8"/>
    <w:rsid w:val="275A1718"/>
    <w:rsid w:val="297B16F4"/>
    <w:rsid w:val="2DE57862"/>
    <w:rsid w:val="355037AD"/>
    <w:rsid w:val="35A2475C"/>
    <w:rsid w:val="37F9517A"/>
    <w:rsid w:val="392D72E9"/>
    <w:rsid w:val="396744F4"/>
    <w:rsid w:val="3D9A384D"/>
    <w:rsid w:val="3F7647BE"/>
    <w:rsid w:val="40805D34"/>
    <w:rsid w:val="43052B22"/>
    <w:rsid w:val="431703AB"/>
    <w:rsid w:val="43EB5804"/>
    <w:rsid w:val="44C56BB7"/>
    <w:rsid w:val="45FF375F"/>
    <w:rsid w:val="47D25A18"/>
    <w:rsid w:val="4D353955"/>
    <w:rsid w:val="4D397978"/>
    <w:rsid w:val="4EE748E4"/>
    <w:rsid w:val="587C7AB2"/>
    <w:rsid w:val="5AA803BC"/>
    <w:rsid w:val="5B230D86"/>
    <w:rsid w:val="5E5D5907"/>
    <w:rsid w:val="637720EC"/>
    <w:rsid w:val="6A1D4CA9"/>
    <w:rsid w:val="6A276E63"/>
    <w:rsid w:val="6BB6478D"/>
    <w:rsid w:val="714F5049"/>
    <w:rsid w:val="72586486"/>
    <w:rsid w:val="76505E20"/>
    <w:rsid w:val="7BD01488"/>
    <w:rsid w:val="7CED53B8"/>
    <w:rsid w:val="7EFE7D49"/>
    <w:rsid w:val="7FA4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next w:val="1"/>
    <w:qFormat/>
    <w:uiPriority w:val="99"/>
    <w:pPr>
      <w:jc w:val="center"/>
      <w:outlineLvl w:val="0"/>
    </w:pPr>
    <w:rPr>
      <w:rFonts w:ascii="Calibri Light" w:hAnsi="Calibri Light"/>
      <w:b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2578</Words>
  <Characters>2894</Characters>
  <Lines>0</Lines>
  <Paragraphs>0</Paragraphs>
  <TotalTime>1</TotalTime>
  <ScaleCrop>false</ScaleCrop>
  <LinksUpToDate>false</LinksUpToDate>
  <CharactersWithSpaces>2902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2022-05-30T00:27:00Z</dcterms:created>
  <dc:creator>DELL</dc:creator>
  <cp:lastModifiedBy>Jianbo_Lee</cp:lastModifiedBy>
  <cp:lastPrinted>2022-05-30T01:37:00Z</cp:lastPrinted>
  <dcterms:modified xsi:type="dcterms:W3CDTF">2023-06-09T02:07:04Z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ADE4EA50827045F3A9AB0910EAB95D99</vt:lpwstr>
  </property>
</Properties>
</file>